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4207"/>
        </w:tabs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Supporting Information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400" w:line="240" w:lineRule="auto"/>
        <w:ind w:left="0" w:right="0" w:firstLine="0"/>
        <w:contextualSpacing w:val="0"/>
        <w:jc w:val="lef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Insights into the Effect of the PDMS-layer on the Kinetics and Thermodynamics of Analyte Sorption onto the Matrix-Compatible SPME Coating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0" w:right="0" w:firstLine="0"/>
        <w:contextualSpacing w:val="0"/>
        <w:jc w:val="left"/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Érica A. Souza-Silva†</w:t>
      </w: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Emanuela Gionfriddo</w:t>
      </w: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Md. Nazmul Alam</w:t>
      </w: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Janusz Pawliszyn</w:t>
      </w: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† Current Address: Universidade Federal do Rio Grande do Sul, 91501-970 Porto Alegre, Rio Grande do Sul, Brazil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 of Chemistry, University of Waterloo, Waterloo, Ontario, Canada.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Corresponding author’s name: Janusz Pawliszyn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Corresponding author’s phone number: 1-519-888-4567 ext. 84641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left"/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no Pro" w:cs="Arno Pro" w:eastAsia="Arno Pro" w:hAnsi="Arno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Corresponding author’s e-mail: janusz@sciborg.uwaterloo.ca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Content:</w:t>
      </w:r>
    </w:p>
    <w:p w:rsidR="00000000" w:rsidDel="00000000" w:rsidP="00000000" w:rsidRDefault="00000000" w:rsidRPr="00000000">
      <w:pPr>
        <w:spacing w:before="240" w:line="240" w:lineRule="auto"/>
        <w:ind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Table S1 - Model analytes in standard mixture for coating evaluation………………………………………S-3</w:t>
      </w:r>
    </w:p>
    <w:p w:rsidR="00000000" w:rsidDel="00000000" w:rsidP="00000000" w:rsidRDefault="00000000" w:rsidRPr="00000000">
      <w:pPr>
        <w:spacing w:before="240" w:line="240" w:lineRule="auto"/>
        <w:ind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Figure S1 - Structures of model analytes employed in the current coating evaluation………………S-4</w:t>
      </w:r>
    </w:p>
    <w:p w:rsidR="00000000" w:rsidDel="00000000" w:rsidP="00000000" w:rsidRDefault="00000000" w:rsidRPr="00000000">
      <w:pPr>
        <w:spacing w:before="240" w:line="240" w:lineRule="auto"/>
        <w:ind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Figure S2 - Representative chromatograms of analytes from standard mixture extracted from water using commercial PDMS/DVB fiber (A), and PDMS-overcoated (B)………………………………….S-5</w:t>
      </w:r>
    </w:p>
    <w:p w:rsidR="00000000" w:rsidDel="00000000" w:rsidP="00000000" w:rsidRDefault="00000000" w:rsidRPr="00000000">
      <w:pPr>
        <w:spacing w:before="240" w:line="240" w:lineRule="auto"/>
        <w:ind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Table S2 - Calculated values of diffusion in water (Dw) at 30 ºC………………………………………………..S-6</w:t>
      </w:r>
    </w:p>
    <w:p w:rsidR="00000000" w:rsidDel="00000000" w:rsidP="00000000" w:rsidRDefault="00000000" w:rsidRPr="00000000">
      <w:pPr>
        <w:spacing w:before="240" w:line="240" w:lineRule="auto"/>
        <w:ind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Table S3 - Calculated values of aqueous boundary layer thicknesses (in µm) for different sample agitation speed (in rpm)……………………………………………………………………………………………………………S-7</w:t>
      </w:r>
    </w:p>
    <w:p w:rsidR="00000000" w:rsidDel="00000000" w:rsidP="00000000" w:rsidRDefault="00000000" w:rsidRPr="00000000">
      <w:pPr>
        <w:spacing w:before="240" w:line="240" w:lineRule="auto"/>
        <w:ind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Figure S3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Mass uptake profiles of most polar target analytes obtained from aqueous solutions at 30 ºC………………………………………………………………………………………………………………………………………S-8/9</w:t>
      </w:r>
    </w:p>
    <w:p w:rsidR="00000000" w:rsidDel="00000000" w:rsidP="00000000" w:rsidRDefault="00000000" w:rsidRPr="00000000">
      <w:pPr>
        <w:spacing w:before="240" w:line="240" w:lineRule="auto"/>
        <w:ind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Figure S4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Schematic representation of the model domains used in the Comsol modeling and simulations……………………………………………………………………………………………………………………………..S-10 </w:t>
      </w:r>
    </w:p>
    <w:p w:rsidR="00000000" w:rsidDel="00000000" w:rsidP="00000000" w:rsidRDefault="00000000" w:rsidRPr="00000000">
      <w:pPr>
        <w:spacing w:before="240" w:line="240" w:lineRule="auto"/>
        <w:ind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Table S4 - Parameters used in the modeling and simulations…………………………………………….…..S-11</w:t>
      </w:r>
    </w:p>
    <w:p w:rsidR="00000000" w:rsidDel="00000000" w:rsidP="00000000" w:rsidRDefault="00000000" w:rsidRPr="00000000">
      <w:pPr>
        <w:spacing w:before="240" w:line="240" w:lineRule="auto"/>
        <w:ind w:firstLine="0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Figure S5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Concentration profile from the coating inner surface to the bulk of the solution. Infinite volume of sample was considered for the simulation. a) Concentration profile for a polar analyte, 1, 3-dinitrobenzene; b) concentration profile for a non-polar analyte, pendimethalin. Parameters used in the simulation is shown in Table S4 …………………………………………………………………………….S-12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S1 - Model analytes in standard mixture for coating evaluation.</w:t>
      </w:r>
    </w:p>
    <w:tbl>
      <w:tblPr>
        <w:tblStyle w:val="Table1"/>
        <w:tblW w:w="7650.0" w:type="dxa"/>
        <w:jc w:val="center"/>
        <w:tblBorders>
          <w:top w:color="8eaadb" w:space="0" w:sz="4" w:val="single"/>
          <w:bottom w:color="8eaadb" w:space="0" w:sz="4" w:val="single"/>
          <w:insideH w:color="8eaadb" w:space="0" w:sz="4" w:val="single"/>
        </w:tblBorders>
        <w:tblLayout w:type="fixed"/>
        <w:tblLook w:val="0200"/>
      </w:tblPr>
      <w:tblGrid>
        <w:gridCol w:w="2122"/>
        <w:gridCol w:w="1275"/>
        <w:gridCol w:w="1418"/>
        <w:gridCol w:w="1134"/>
        <w:gridCol w:w="1701"/>
        <w:tblGridChange w:id="0">
          <w:tblGrid>
            <w:gridCol w:w="2122"/>
            <w:gridCol w:w="1275"/>
            <w:gridCol w:w="1418"/>
            <w:gridCol w:w="1134"/>
            <w:gridCol w:w="1701"/>
          </w:tblGrid>
        </w:tblGridChange>
      </w:tblGrid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Working Mixture</w:t>
            </w:r>
          </w:p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 µg/mL)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Log P </w:t>
            </w:r>
          </w:p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(pH 7)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MW (g/mole)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Quant. Ion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m/z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Nitrobenzene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1.90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77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1,3-Dinitrobenzene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1.43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168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2,6-Dinitrotoluene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2.42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165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Trifluralin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5.07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306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4-Phenylphenol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3.20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170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Diazinon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3.40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304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Chlorothalonil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2.94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266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Parathion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3.83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291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Pendimethalin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5.18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252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p,p'-DDE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6.00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318</w:t>
            </w:r>
          </w:p>
        </w:tc>
      </w:tr>
      <w:tr>
        <w:trPr>
          <w:trHeight w:val="34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Diazepam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2.80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256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  <w:color w:val="44546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4546a"/>
          <w:sz w:val="24"/>
          <w:szCs w:val="24"/>
        </w:rPr>
        <w:drawing>
          <wp:inline distB="0" distT="0" distL="0" distR="0">
            <wp:extent cx="4455160" cy="613029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6130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Figure S1 - Structures of model analytes employed in the current coating evaluation.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/>
        <w:drawing>
          <wp:inline distB="0" distT="0" distL="114300" distR="114300">
            <wp:extent cx="5924550" cy="260985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609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419100</wp:posOffset>
                </wp:positionH>
                <wp:positionV relativeFrom="paragraph">
                  <wp:posOffset>457200</wp:posOffset>
                </wp:positionV>
                <wp:extent cx="469900" cy="393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5412" y="3585193"/>
                          <a:ext cx="461176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28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419100</wp:posOffset>
                </wp:positionH>
                <wp:positionV relativeFrom="paragraph">
                  <wp:posOffset>457200</wp:posOffset>
                </wp:positionV>
                <wp:extent cx="469900" cy="3937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</w:rPr>
        <w:drawing>
          <wp:inline distB="0" distT="0" distL="114300" distR="114300">
            <wp:extent cx="5962650" cy="257175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571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533400</wp:posOffset>
                </wp:positionH>
                <wp:positionV relativeFrom="paragraph">
                  <wp:posOffset>495300</wp:posOffset>
                </wp:positionV>
                <wp:extent cx="419100" cy="3683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39266" y="3597120"/>
                          <a:ext cx="41346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28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533400</wp:posOffset>
                </wp:positionH>
                <wp:positionV relativeFrom="paragraph">
                  <wp:posOffset>495300</wp:posOffset>
                </wp:positionV>
                <wp:extent cx="419100" cy="3683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Figure S2 - Representative chromatogram: analytes from standard mixture extracted from water using commercial PDMS/DVB fiber (A), and PDMS-overcoated (B).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S2 Calculated values of diffusion in water (D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at 30 ºC.</w:t>
      </w:r>
    </w:p>
    <w:tbl>
      <w:tblPr>
        <w:tblStyle w:val="Table2"/>
        <w:tblW w:w="4673.0" w:type="dxa"/>
        <w:jc w:val="left"/>
        <w:tblInd w:w="991.0" w:type="dxa"/>
        <w:tblLayout w:type="fixed"/>
        <w:tblLook w:val="0400"/>
      </w:tblPr>
      <w:tblGrid>
        <w:gridCol w:w="2860"/>
        <w:gridCol w:w="1813"/>
        <w:tblGridChange w:id="0">
          <w:tblGrid>
            <w:gridCol w:w="2860"/>
            <w:gridCol w:w="1813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bottom w:color="666666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subscript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Nitrobenzene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1.01E-05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1,3-Dinitrobenzene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8.99E-06</w:t>
            </w:r>
          </w:p>
        </w:tc>
      </w:tr>
      <w:tr>
        <w:trPr>
          <w:trHeight w:val="32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2,6-Dinitrotoluene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8.29E-06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Trifluralin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5.51E-06</w:t>
            </w:r>
          </w:p>
        </w:tc>
      </w:tr>
      <w:tr>
        <w:trPr>
          <w:trHeight w:val="32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4-Phenylphenol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7.76E-06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Diazinon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5.75E-06</w:t>
            </w:r>
          </w:p>
        </w:tc>
      </w:tr>
      <w:tr>
        <w:trPr>
          <w:trHeight w:val="32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Chlorothalonil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6.92E-06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Parathion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6.38E-06</w:t>
            </w:r>
          </w:p>
        </w:tc>
      </w:tr>
      <w:tr>
        <w:trPr>
          <w:trHeight w:val="32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Pendimethalin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5.77E-06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4,4'-DDE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5.90E-06</w:t>
            </w:r>
          </w:p>
        </w:tc>
      </w:tr>
      <w:tr>
        <w:trPr>
          <w:trHeight w:val="32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Diazepam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5.87E-06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ind w:left="720" w:firstLine="0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Table S3 Calculated values of aqueous boundary layer thicknesses (in µm) for different sample agitation speed (in rpm)</w:t>
      </w:r>
    </w:p>
    <w:tbl>
      <w:tblPr>
        <w:tblStyle w:val="Table3"/>
        <w:tblW w:w="8766.0" w:type="dxa"/>
        <w:jc w:val="left"/>
        <w:tblInd w:w="800.0" w:type="dxa"/>
        <w:tblBorders>
          <w:top w:color="7f7f7f" w:space="0" w:sz="4" w:val="single"/>
          <w:bottom w:color="7f7f7f" w:space="0" w:sz="4" w:val="single"/>
        </w:tblBorders>
        <w:tblLayout w:type="fixed"/>
        <w:tblLook w:val="0400"/>
      </w:tblPr>
      <w:tblGrid>
        <w:gridCol w:w="1817"/>
        <w:gridCol w:w="1314"/>
        <w:gridCol w:w="1133"/>
        <w:gridCol w:w="1099"/>
        <w:gridCol w:w="1135"/>
        <w:gridCol w:w="1134"/>
        <w:gridCol w:w="1134"/>
        <w:tblGridChange w:id="0">
          <w:tblGrid>
            <w:gridCol w:w="1817"/>
            <w:gridCol w:w="1314"/>
            <w:gridCol w:w="1133"/>
            <w:gridCol w:w="1099"/>
            <w:gridCol w:w="1135"/>
            <w:gridCol w:w="1134"/>
            <w:gridCol w:w="1134"/>
          </w:tblGrid>
        </w:tblGridChange>
      </w:tblGrid>
      <w:tr>
        <w:trPr>
          <w:trHeight w:val="380" w:hRule="atLeast"/>
        </w:trPr>
        <w:tc>
          <w:tcPr>
            <w:tcBorders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PDMS/DVB</w:t>
            </w:r>
          </w:p>
        </w:tc>
        <w:tc>
          <w:tcPr>
            <w:gridSpan w:val="2"/>
            <w:tcBorders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 Layer PDMS overcoat</w:t>
            </w:r>
          </w:p>
        </w:tc>
        <w:tc>
          <w:tcPr>
            <w:gridSpan w:val="2"/>
            <w:tcBorders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 Layers PDMS overcoat</w:t>
            </w:r>
          </w:p>
        </w:tc>
      </w:tr>
      <w:tr>
        <w:trPr>
          <w:trHeight w:val="440" w:hRule="atLeast"/>
        </w:trPr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color w:val="1f4e79"/>
                <w:sz w:val="24"/>
                <w:szCs w:val="24"/>
                <w:rtl w:val="0"/>
              </w:rPr>
              <w:t xml:space="preserve">δ</w:t>
            </w:r>
            <w:r w:rsidDel="00000000" w:rsidR="00000000" w:rsidRPr="00000000">
              <w:rPr>
                <w:rFonts w:ascii="Symbol" w:cs="Symbol" w:eastAsia="Symbol" w:hAnsi="Symbol"/>
                <w:b w:val="1"/>
                <w:color w:val="1f4e79"/>
                <w:sz w:val="24"/>
                <w:szCs w:val="24"/>
                <w:vertAlign w:val="subscript"/>
                <w:rtl w:val="0"/>
              </w:rPr>
              <w:t xml:space="preserve">500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rpm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color w:val="7030a0"/>
                <w:sz w:val="24"/>
                <w:szCs w:val="24"/>
                <w:rtl w:val="0"/>
              </w:rPr>
              <w:t xml:space="preserve">δ</w:t>
            </w:r>
            <w:r w:rsidDel="00000000" w:rsidR="00000000" w:rsidRPr="00000000">
              <w:rPr>
                <w:rFonts w:ascii="Symbol" w:cs="Symbol" w:eastAsia="Symbol" w:hAnsi="Symbol"/>
                <w:b w:val="1"/>
                <w:color w:val="7030a0"/>
                <w:sz w:val="24"/>
                <w:szCs w:val="24"/>
                <w:vertAlign w:val="subscript"/>
                <w:rtl w:val="0"/>
              </w:rPr>
              <w:t xml:space="preserve">1500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rpm</w:t>
            </w:r>
            <w:r w:rsidDel="00000000" w:rsidR="00000000" w:rsidRPr="00000000">
              <w:rPr>
                <w:rFonts w:ascii="Symbol" w:cs="Symbol" w:eastAsia="Symbol" w:hAnsi="Symbol"/>
                <w:b w:val="1"/>
                <w:color w:val="7030a0"/>
                <w:sz w:val="24"/>
                <w:szCs w:val="24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color w:val="990000"/>
                <w:sz w:val="24"/>
                <w:szCs w:val="24"/>
                <w:rtl w:val="0"/>
              </w:rPr>
              <w:t xml:space="preserve">δ</w:t>
            </w:r>
            <w:r w:rsidDel="00000000" w:rsidR="00000000" w:rsidRPr="00000000">
              <w:rPr>
                <w:rFonts w:ascii="Symbol" w:cs="Symbol" w:eastAsia="Symbol" w:hAnsi="Symbol"/>
                <w:b w:val="1"/>
                <w:color w:val="990000"/>
                <w:sz w:val="24"/>
                <w:szCs w:val="24"/>
                <w:vertAlign w:val="subscript"/>
                <w:rtl w:val="0"/>
              </w:rPr>
              <w:t xml:space="preserve">500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rpm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color w:val="00b0f0"/>
                <w:sz w:val="24"/>
                <w:szCs w:val="24"/>
                <w:rtl w:val="0"/>
              </w:rPr>
              <w:t xml:space="preserve">δ</w:t>
            </w:r>
            <w:r w:rsidDel="00000000" w:rsidR="00000000" w:rsidRPr="00000000">
              <w:rPr>
                <w:rFonts w:ascii="Symbol" w:cs="Symbol" w:eastAsia="Symbol" w:hAnsi="Symbol"/>
                <w:b w:val="1"/>
                <w:color w:val="00b0f0"/>
                <w:sz w:val="24"/>
                <w:szCs w:val="24"/>
                <w:vertAlign w:val="subscript"/>
                <w:rtl w:val="0"/>
              </w:rPr>
              <w:t xml:space="preserve">1500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rpm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color w:val="60497a"/>
                <w:sz w:val="24"/>
                <w:szCs w:val="24"/>
                <w:rtl w:val="0"/>
              </w:rPr>
              <w:t xml:space="preserve">δ</w:t>
            </w:r>
            <w:r w:rsidDel="00000000" w:rsidR="00000000" w:rsidRPr="00000000">
              <w:rPr>
                <w:rFonts w:ascii="Symbol" w:cs="Symbol" w:eastAsia="Symbol" w:hAnsi="Symbol"/>
                <w:b w:val="1"/>
                <w:color w:val="60497a"/>
                <w:sz w:val="24"/>
                <w:szCs w:val="24"/>
                <w:vertAlign w:val="subscript"/>
                <w:rtl w:val="0"/>
              </w:rPr>
              <w:t xml:space="preserve">500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rpm</w:t>
            </w:r>
            <w:r w:rsidDel="00000000" w:rsidR="00000000" w:rsidRPr="00000000">
              <w:rPr>
                <w:rFonts w:ascii="Symbol" w:cs="Symbol" w:eastAsia="Symbol" w:hAnsi="Symbol"/>
                <w:b w:val="1"/>
                <w:color w:val="7030a0"/>
                <w:sz w:val="24"/>
                <w:szCs w:val="24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color w:val="538135"/>
                <w:sz w:val="24"/>
                <w:szCs w:val="24"/>
                <w:rtl w:val="0"/>
              </w:rPr>
              <w:t xml:space="preserve">δ</w:t>
            </w:r>
            <w:r w:rsidDel="00000000" w:rsidR="00000000" w:rsidRPr="00000000">
              <w:rPr>
                <w:rFonts w:ascii="Symbol" w:cs="Symbol" w:eastAsia="Symbol" w:hAnsi="Symbol"/>
                <w:b w:val="1"/>
                <w:color w:val="538135"/>
                <w:sz w:val="24"/>
                <w:szCs w:val="24"/>
                <w:vertAlign w:val="subscript"/>
                <w:rtl w:val="0"/>
              </w:rPr>
              <w:t xml:space="preserve">1500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rpm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Nitrobenzene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10.98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5.55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11.28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5.71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  <w:rtl w:val="0"/>
              </w:rPr>
              <w:t xml:space="preserve">11.85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5.99</w:t>
            </w:r>
          </w:p>
        </w:tc>
      </w:tr>
      <w:tr>
        <w:trPr>
          <w:trHeight w:val="320" w:hRule="atLeast"/>
        </w:trPr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1,3-Dinitrobenzene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10.5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5.31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10.79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5.46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  <w:rtl w:val="0"/>
              </w:rPr>
              <w:t xml:space="preserve">11.33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5.74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2,6-Dinitrotoluene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10.18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5.15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10.46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5.29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  <w:rtl w:val="0"/>
              </w:rPr>
              <w:t xml:space="preserve">10.99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5.56</w:t>
            </w:r>
          </w:p>
        </w:tc>
      </w:tr>
      <w:tr>
        <w:trPr>
          <w:trHeight w:val="320" w:hRule="atLeast"/>
        </w:trPr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Trifluralin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8.72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4.41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8.96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4.53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  <w:rtl w:val="0"/>
              </w:rPr>
              <w:t xml:space="preserve">9.41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4.76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4-Phenylphenol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9.93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5.03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10.2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5.16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  <w:rtl w:val="0"/>
              </w:rPr>
              <w:t xml:space="preserve">10.72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5.42</w:t>
            </w:r>
          </w:p>
        </w:tc>
      </w:tr>
      <w:tr>
        <w:trPr>
          <w:trHeight w:val="320" w:hRule="atLeast"/>
        </w:trPr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Diazinon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8.86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4.48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9.11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4.61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  <w:rtl w:val="0"/>
              </w:rPr>
              <w:t xml:space="preserve">9.56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4.84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Chlorothalonil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9.51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4.81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9.77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4.94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  <w:rtl w:val="0"/>
              </w:rPr>
              <w:t xml:space="preserve">10.26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5.19</w:t>
            </w:r>
          </w:p>
        </w:tc>
      </w:tr>
      <w:tr>
        <w:trPr>
          <w:trHeight w:val="320" w:hRule="atLeast"/>
        </w:trPr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Parathion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9.22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4.66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9.47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4.79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  <w:rtl w:val="0"/>
              </w:rPr>
              <w:t xml:space="preserve">9.95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5.03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Pendimethalin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8.87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4.49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9.12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4.61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  <w:rtl w:val="0"/>
              </w:rPr>
              <w:t xml:space="preserve">9.58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4.85</w:t>
            </w:r>
          </w:p>
        </w:tc>
      </w:tr>
      <w:tr>
        <w:trPr>
          <w:trHeight w:val="320" w:hRule="atLeast"/>
        </w:trPr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4,4'-DDE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8.95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4.53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9.19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4.65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  <w:rtl w:val="0"/>
              </w:rPr>
              <w:t xml:space="preserve">9.66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4.89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Diazepam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4"/>
                <w:szCs w:val="24"/>
                <w:rtl w:val="0"/>
              </w:rPr>
              <w:t xml:space="preserve">8.93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  <w:rtl w:val="0"/>
              </w:rPr>
              <w:t xml:space="preserve">4.52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sz w:val="24"/>
                <w:szCs w:val="24"/>
                <w:rtl w:val="0"/>
              </w:rPr>
              <w:t xml:space="preserve">9.18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4.64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0497a"/>
                <w:sz w:val="24"/>
                <w:szCs w:val="24"/>
                <w:rtl w:val="0"/>
              </w:rPr>
              <w:t xml:space="preserve">9.64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4.88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5299710" cy="2543175"/>
            <wp:effectExtent b="0" l="0" r="0" t="0"/>
            <wp:docPr id="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254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5299710" cy="2895600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289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5299710" cy="2809875"/>
            <wp:effectExtent b="0" l="0" r="0" t="0"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2809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5299710" cy="2828925"/>
            <wp:effectExtent b="0" l="0" r="0" t="0"/>
            <wp:docPr id="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2828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  <w:rtl w:val="0"/>
        </w:rPr>
        <w:t xml:space="preserve">Figure S3 - Mass uptake profiles of most polar target analytes obtained from aqueous solutions at 30 ºC.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3569384" cy="3220620"/>
            <wp:effectExtent b="0" l="0" r="0" t="0"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9384" cy="3220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Figure S4 - Schematic representation of the model domains used in the Comsol modeling and simulations.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S4 Parameters used in the modeling and simulations.  </w:t>
      </w:r>
    </w:p>
    <w:tbl>
      <w:tblPr>
        <w:tblStyle w:val="Table4"/>
        <w:tblW w:w="10236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4500"/>
        <w:gridCol w:w="882"/>
        <w:gridCol w:w="2098"/>
        <w:gridCol w:w="1080"/>
        <w:gridCol w:w="1676"/>
        <w:tblGridChange w:id="0">
          <w:tblGrid>
            <w:gridCol w:w="4500"/>
            <w:gridCol w:w="882"/>
            <w:gridCol w:w="2098"/>
            <w:gridCol w:w="1080"/>
            <w:gridCol w:w="1676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Parameters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1,3-Dinitrobenzene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Diazinon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Pendamethalin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Partition coefficient PDMS-DVB/Water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886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18916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114295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Partition coefficient PDMS/Water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151356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Partition coefficient PDMS/PDMS-DVB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7.51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Diffusion coefficient in water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cm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8.99E-06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5.75E-06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7.37E-06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Diffusion coefficient in coating and overcoating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cm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1.50E-06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9.58E-07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1.23E-06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Fluid linear velocity (for 1500 rpm)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cm/s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Fluid linear velocity (for 500 rpm)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cm/s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Temperature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Volume of PDMS-DVB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4.40E-04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4.40E-04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4.40E-04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Volume of over coating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µl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8.80E-02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8.80E-02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8.80E-02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Diameter of the fiber core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1.30E-01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1.30E-01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1.30E-01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diameter of the over coated fiber (1 Layer)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2.70E-01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2.70E-01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2.70E-01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diameter of the over coated fiber (2 Layers)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2.90E-01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2.90E-01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2.90E-01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Initial concentration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ng/mL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5035550" cy="3206750"/>
                  <wp:effectExtent b="0" l="0" r="0" t="0"/>
                  <wp:docPr id="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0" cy="320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5035550" cy="3206750"/>
                  <wp:effectExtent b="0" l="0" r="0" t="0"/>
                  <wp:docPr id="1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0" cy="320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20700" cy="2667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088825" y="3646650"/>
                                <a:ext cx="514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40" w:before="0" w:line="480"/>
                                    <w:ind w:left="0" w:right="0" w:firstLine="72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(a)</w:t>
                                  </w:r>
                                </w:p>
                              </w:txbxContent>
                            </wps:txbx>
                            <wps:bodyPr anchorCtr="0" anchor="t" bIns="45700" lIns="91425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20700" cy="266700"/>
                      <wp:effectExtent b="0" l="0" r="0" t="0"/>
                      <wp:wrapNone/>
                      <wp:docPr id="1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070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margin">
                        <wp:posOffset>-25399</wp:posOffset>
                      </wp:positionH>
                      <wp:positionV relativeFrom="paragraph">
                        <wp:posOffset>3035300</wp:posOffset>
                      </wp:positionV>
                      <wp:extent cx="520700" cy="2667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88825" y="3646650"/>
                                <a:ext cx="514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40" w:before="0" w:line="480"/>
                                    <w:ind w:left="0" w:right="0" w:firstLine="72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(b)</w:t>
                                  </w:r>
                                </w:p>
                              </w:txbxContent>
                            </wps:txbx>
                            <wps:bodyPr anchorCtr="0" anchor="t" bIns="45700" lIns="91425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margin">
                        <wp:posOffset>-25399</wp:posOffset>
                      </wp:positionH>
                      <wp:positionV relativeFrom="paragraph">
                        <wp:posOffset>3035300</wp:posOffset>
                      </wp:positionV>
                      <wp:extent cx="520700" cy="266700"/>
                      <wp:effectExtent b="0" l="0" r="0" t="0"/>
                      <wp:wrapNone/>
                      <wp:docPr id="1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070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keepNext w:val="1"/>
              <w:ind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Figure S 5. Concentration profile from the coating inner surface to the bulk of the solution. Infinite volume of sample was considered for the simulation. a) Concentration profile for a polar analyte, 1, 3-dinitrobenzene; b) concentration profile for a non-polar analyte, pendimethalin. Parameters used in the simulation is shown in Table S4.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685800</wp:posOffset>
                </wp:positionH>
                <wp:positionV relativeFrom="paragraph">
                  <wp:posOffset>0</wp:posOffset>
                </wp:positionV>
                <wp:extent cx="393700" cy="2921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50738" y="3637125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480"/>
                              <w:ind w:left="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B)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685800</wp:posOffset>
                </wp:positionH>
                <wp:positionV relativeFrom="paragraph">
                  <wp:posOffset>0</wp:posOffset>
                </wp:positionV>
                <wp:extent cx="393700" cy="2921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footerReference r:id="rId22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Symbol"/>
  <w:font w:name="Arno Pro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72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S-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9" w:before="0" w:line="240" w:lineRule="auto"/>
      <w:ind w:left="0" w:right="0" w:firstLine="72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72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S-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9" w:before="0" w:line="240" w:lineRule="auto"/>
      <w:ind w:left="0" w:right="0" w:firstLine="72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9" w:line="240" w:lineRule="auto"/>
      <w:ind w:left="0" w:right="0" w:firstLine="72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72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480" w:lineRule="auto"/>
        <w:ind w:left="0" w:right="0" w:firstLine="72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  <w:ind w:firstLine="0"/>
      <w:jc w:val="left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a5a5a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a5a5a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</w:style>
  <w:style w:type="table" w:styleId="Table5">
    <w:basedOn w:val="TableNormal"/>
    <w:pPr>
      <w:spacing w:after="0" w:line="240" w:lineRule="auto"/>
      <w:ind w:firstLine="0"/>
      <w:jc w:val="left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1.png"/><Relationship Id="rId22" Type="http://schemas.openxmlformats.org/officeDocument/2006/relationships/footer" Target="footer2.xml"/><Relationship Id="rId10" Type="http://schemas.openxmlformats.org/officeDocument/2006/relationships/image" Target="media/image15.png"/><Relationship Id="rId21" Type="http://schemas.openxmlformats.org/officeDocument/2006/relationships/footer" Target="footer1.xml"/><Relationship Id="rId13" Type="http://schemas.openxmlformats.org/officeDocument/2006/relationships/image" Target="media/image16.png"/><Relationship Id="rId12" Type="http://schemas.openxmlformats.org/officeDocument/2006/relationships/image" Target="media/image1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2.png"/><Relationship Id="rId15" Type="http://schemas.openxmlformats.org/officeDocument/2006/relationships/image" Target="media/image18.png"/><Relationship Id="rId14" Type="http://schemas.openxmlformats.org/officeDocument/2006/relationships/image" Target="media/image19.png"/><Relationship Id="rId17" Type="http://schemas.openxmlformats.org/officeDocument/2006/relationships/image" Target="media/image26.png"/><Relationship Id="rId16" Type="http://schemas.openxmlformats.org/officeDocument/2006/relationships/image" Target="media/image20.png"/><Relationship Id="rId5" Type="http://schemas.openxmlformats.org/officeDocument/2006/relationships/image" Target="media/image3.png"/><Relationship Id="rId19" Type="http://schemas.openxmlformats.org/officeDocument/2006/relationships/image" Target="media/image30.png"/><Relationship Id="rId6" Type="http://schemas.openxmlformats.org/officeDocument/2006/relationships/image" Target="media/image9.png"/><Relationship Id="rId18" Type="http://schemas.openxmlformats.org/officeDocument/2006/relationships/image" Target="media/image28.png"/><Relationship Id="rId7" Type="http://schemas.openxmlformats.org/officeDocument/2006/relationships/image" Target="media/image24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