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Supporting information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80" w:before="1400" w:line="276" w:lineRule="auto"/>
        <w:ind w:left="0" w:right="0" w:firstLine="0"/>
        <w:contextualSpacing w:val="0"/>
        <w:jc w:val="both"/>
        <w:rPr>
          <w:rFonts w:ascii="Calibri" w:cs="Calibri" w:eastAsia="Calibri" w:hAnsi="Calibri"/>
          <w:b w:val="1"/>
          <w:i w:val="0"/>
          <w:smallCaps w:val="0"/>
          <w:strike w:val="0"/>
          <w:color w:val="000000"/>
          <w:sz w:val="34"/>
          <w:szCs w:val="34"/>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34"/>
          <w:szCs w:val="34"/>
          <w:u w:val="none"/>
          <w:shd w:fill="auto" w:val="clear"/>
          <w:vertAlign w:val="baseline"/>
          <w:rtl w:val="0"/>
        </w:rPr>
        <w:t xml:space="preserve">HIGH THROUGHPUT SOLID PHASE MICROEXTRACTION: A NEW ALTERNATIVE FOR ANALYSIS OF CELLULAR LIPIDOME?</w:t>
      </w:r>
      <w:r w:rsidDel="00000000" w:rsidR="00000000" w:rsidRPr="00000000">
        <w:rPr>
          <w:rFonts w:ascii="Calibri" w:cs="Calibri" w:eastAsia="Calibri" w:hAnsi="Calibri"/>
          <w:b w:val="1"/>
          <w:i w:val="0"/>
          <w:smallCaps w:val="0"/>
          <w:strike w:val="0"/>
          <w:color w:val="000000"/>
          <w:sz w:val="34"/>
          <w:szCs w:val="34"/>
          <w:u w:val="none"/>
          <w:shd w:fill="auto" w:val="clear"/>
          <w:vertAlign w:val="baseline"/>
          <w:rtl w:val="0"/>
        </w:rPr>
        <w:t xml:space="preserve"> </w:t>
      </w:r>
    </w:p>
    <w:p w:rsidR="00000000" w:rsidDel="00000000" w:rsidP="00000000" w:rsidRDefault="00000000" w:rsidRPr="00000000">
      <w:pPr>
        <w:contextualSpacing w:val="0"/>
        <w:jc w:val="center"/>
        <w:rPr>
          <w:rFonts w:ascii="Times New Roman" w:cs="Times New Roman" w:eastAsia="Times New Roman" w:hAnsi="Times New Roman"/>
          <w:b w:val="0"/>
          <w:sz w:val="34"/>
          <w:szCs w:val="34"/>
          <w:vertAlign w:val="baseline"/>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0"/>
          <w:sz w:val="34"/>
          <w:szCs w:val="34"/>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641" w:right="0" w:hanging="641"/>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Afsoon Pajand Birjandi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Barbara Bojko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Zhibin Ning</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Daniel Figeys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Janusz Pawliszyn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640" w:right="0" w:hanging="64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640" w:right="0" w:hanging="64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Department of Chemistry, University of Waterloo, 200 University Avenue West, Waterloo, Ontario, N2L 3G1, Canada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640" w:right="0" w:hanging="64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Ottawa Institute of Systems Biology, University of Ottawa, 451 Smyth Road, Ottawa, ON K1H 8M5, Canada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spacing w:after="240" w:lineRule="auto"/>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spacing w:after="240" w:lineRule="auto"/>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spacing w:after="240" w:lineRule="auto"/>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*Corresponding author. Tel.: +1-519-888-4641; Fax: +1-519-746-0435</w:t>
      </w:r>
    </w:p>
    <w:p w:rsidR="00000000" w:rsidDel="00000000" w:rsidP="00000000" w:rsidRDefault="00000000" w:rsidRPr="00000000">
      <w:pPr>
        <w:contextualSpacing w:val="0"/>
        <w:rPr>
          <w:rFonts w:ascii="Times New Roman" w:cs="Times New Roman" w:eastAsia="Times New Roman" w:hAnsi="Times New Roman"/>
          <w:color w:val="0000ff"/>
          <w:u w:val="single"/>
          <w:vertAlign w:val="baseline"/>
        </w:rPr>
      </w:pPr>
      <w:r w:rsidDel="00000000" w:rsidR="00000000" w:rsidRPr="00000000">
        <w:rPr>
          <w:rFonts w:ascii="Times New Roman" w:cs="Times New Roman" w:eastAsia="Times New Roman" w:hAnsi="Times New Roman"/>
          <w:vertAlign w:val="baseline"/>
          <w:rtl w:val="0"/>
        </w:rPr>
        <w:t xml:space="preserve">E-mail address: </w:t>
      </w:r>
      <w:hyperlink r:id="rId5">
        <w:r w:rsidDel="00000000" w:rsidR="00000000" w:rsidRPr="00000000">
          <w:rPr>
            <w:rFonts w:ascii="Times New Roman" w:cs="Times New Roman" w:eastAsia="Times New Roman" w:hAnsi="Times New Roman"/>
            <w:color w:val="0000ff"/>
            <w:u w:val="single"/>
            <w:vertAlign w:val="baseline"/>
            <w:rtl w:val="0"/>
          </w:rPr>
          <w:t xml:space="preserve">janusz@uwaterloo.ca</w:t>
        </w:r>
      </w:hyperlink>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color w:val="000000"/>
          <w:u w:val="none"/>
          <w:vertAlign w:val="baseline"/>
          <w:rtl w:val="0"/>
        </w:rPr>
        <w:t xml:space="preserve">#Present address: Department of Pharmacodynamics and Molecular Pharmacology, Faculty of Pharmacy, Collegium Medicum in Bydgoszcz, Nicolaus Copenicus University in Torun, dr A. Jurasza 2, 85-089 Bydgoszcz, Poland</w:t>
      </w:r>
      <w:r w:rsidDel="00000000" w:rsidR="00000000" w:rsidRPr="00000000">
        <w:rPr>
          <w:rtl w:val="0"/>
        </w:rPr>
      </w:r>
    </w:p>
    <w:p w:rsidR="00000000" w:rsidDel="00000000" w:rsidP="00000000" w:rsidRDefault="00000000" w:rsidRPr="00000000">
      <w:pPr>
        <w:pStyle w:val="Heading1"/>
        <w:contextualSpacing w:val="0"/>
        <w:rPr>
          <w:color w:val="000000"/>
          <w:vertAlign w:val="baseline"/>
        </w:rPr>
      </w:pPr>
      <w:r w:rsidDel="00000000" w:rsidR="00000000" w:rsidRPr="00000000">
        <w:br w:type="page"/>
      </w:r>
      <w:r w:rsidDel="00000000" w:rsidR="00000000" w:rsidRPr="00000000">
        <w:rPr>
          <w:b w:val="1"/>
          <w:vertAlign w:val="baseline"/>
          <w:rtl w:val="0"/>
        </w:rPr>
        <w:t xml:space="preserve">SUMMARY</w:t>
      </w: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This Supporting Information file includes additional results and information as described in the text of the main article including 1) chemicals and materials, 2) cell culture, 3) preparation of C18-PAN 96-blade coatings, 4) data quality assurance, 5) LCMS method assessment, 6) quality control (QC) monitoring- assessment of instrumental response robustness, 7) feature identification, and 8) references.</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vertAlign w:val="baseline"/>
        </w:rPr>
      </w:pPr>
      <w:bookmarkStart w:colFirst="0" w:colLast="0" w:name="_gjdgxs" w:id="0"/>
      <w:bookmarkEnd w:id="0"/>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vertAlign w:val="baseline"/>
        </w:rPr>
        <w:sectPr>
          <w:headerReference r:id="rId6" w:type="default"/>
          <w:headerReference r:id="rId7" w:type="first"/>
          <w:headerReference r:id="rId8" w:type="even"/>
          <w:footerReference r:id="rId9" w:type="default"/>
          <w:footerReference r:id="rId10" w:type="first"/>
          <w:footerReference r:id="rId11" w:type="even"/>
          <w:pgSz w:h="15840" w:w="12240"/>
          <w:pgMar w:bottom="1440" w:top="1440" w:left="1440" w:right="1440" w:header="0"/>
          <w:pgNumType w:start="1"/>
        </w:sectPr>
      </w:pPr>
      <w:r w:rsidDel="00000000" w:rsidR="00000000" w:rsidRPr="00000000">
        <w:br w:type="page"/>
      </w:r>
      <w:r w:rsidDel="00000000" w:rsidR="00000000" w:rsidRPr="00000000">
        <w:rPr>
          <w:rtl w:val="0"/>
        </w:rPr>
      </w:r>
    </w:p>
    <w:p w:rsidR="00000000" w:rsidDel="00000000" w:rsidP="00000000" w:rsidRDefault="00000000" w:rsidRPr="00000000">
      <w:pPr>
        <w:pStyle w:val="Heading1"/>
        <w:contextualSpacing w:val="0"/>
        <w:rPr>
          <w:vertAlign w:val="baseline"/>
        </w:rPr>
      </w:pPr>
      <w:r w:rsidDel="00000000" w:rsidR="00000000" w:rsidRPr="00000000">
        <w:rPr>
          <w:b w:val="1"/>
          <w:vertAlign w:val="baseline"/>
          <w:rtl w:val="0"/>
        </w:rPr>
        <w:t xml:space="preserve">Reagents and materials</w:t>
      </w: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vertAlign w:val="baseline"/>
        </w:rPr>
      </w:pPr>
      <w:bookmarkStart w:colFirst="0" w:colLast="0" w:name="_30j0zll" w:id="1"/>
      <w:bookmarkEnd w:id="1"/>
      <w:r w:rsidDel="00000000" w:rsidR="00000000" w:rsidRPr="00000000">
        <w:rPr>
          <w:rFonts w:ascii="Times New Roman" w:cs="Times New Roman" w:eastAsia="Times New Roman" w:hAnsi="Times New Roman"/>
          <w:sz w:val="24"/>
          <w:szCs w:val="24"/>
          <w:vertAlign w:val="baseline"/>
          <w:rtl w:val="0"/>
        </w:rPr>
        <w:t xml:space="preserve">LC-MS grade Methanol, acetonitrile, and 2-propanol (all HPLC gradient grade) were purchased from Fisher Scientific (ON, Canada). LC-MS grade acetic acid and ammonium acetate were obtained from Fluka (Sigma-Aldrich Oakville, ON, Canada). Two groups of lipid standard with even-numbered carbon chains (endogenous lipids), as well as odd-carbon acyl chains (non-endogenous) from each lipid class and subclass species were purchased from Avanti Polar Lipids (Alabaster, AL) for method development: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1-palmitoyl-2-hydroxy-</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sn</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-glycero-3-phosphocholine (</w:t>
      </w:r>
      <w:r w:rsidDel="00000000" w:rsidR="00000000" w:rsidRPr="00000000">
        <w:rPr>
          <w:rFonts w:ascii="Times New Roman" w:cs="Times New Roman" w:eastAsia="Times New Roman" w:hAnsi="Times New Roman"/>
          <w:sz w:val="24"/>
          <w:szCs w:val="24"/>
          <w:vertAlign w:val="baseline"/>
          <w:rtl w:val="0"/>
        </w:rPr>
        <w:t xml:space="preserve">LPC 16:0);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1-oleoyl-2-hydroxy-</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sn</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-glycero-3-phosphocholine (</w:t>
      </w:r>
      <w:r w:rsidDel="00000000" w:rsidR="00000000" w:rsidRPr="00000000">
        <w:rPr>
          <w:rFonts w:ascii="Times New Roman" w:cs="Times New Roman" w:eastAsia="Times New Roman" w:hAnsi="Times New Roman"/>
          <w:sz w:val="24"/>
          <w:szCs w:val="24"/>
          <w:vertAlign w:val="baseline"/>
          <w:rtl w:val="0"/>
        </w:rPr>
        <w:t xml:space="preserve">LPC 18:1);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1-myristoyl-2-stearoyl-</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sn</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-glycero-3-phosphocholine </w:t>
      </w:r>
      <w:r w:rsidDel="00000000" w:rsidR="00000000" w:rsidRPr="00000000">
        <w:rPr>
          <w:rFonts w:ascii="Times New Roman" w:cs="Times New Roman" w:eastAsia="Times New Roman" w:hAnsi="Times New Roman"/>
          <w:sz w:val="24"/>
          <w:szCs w:val="24"/>
          <w:vertAlign w:val="baseline"/>
          <w:rtl w:val="0"/>
        </w:rPr>
        <w:t xml:space="preserve">(PC 14:0/18:0);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1-stearoyl-2-arachidonoyl-</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sn</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-glycero-3-phosphocholine </w:t>
      </w:r>
      <w:r w:rsidDel="00000000" w:rsidR="00000000" w:rsidRPr="00000000">
        <w:rPr>
          <w:rFonts w:ascii="Times New Roman" w:cs="Times New Roman" w:eastAsia="Times New Roman" w:hAnsi="Times New Roman"/>
          <w:sz w:val="24"/>
          <w:szCs w:val="24"/>
          <w:vertAlign w:val="baseline"/>
          <w:rtl w:val="0"/>
        </w:rPr>
        <w:t xml:space="preserve">(PC 18:0/20:4);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1-palmitoyl-2-linoleoyl-</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sn</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-glycero-3-phosphoethanolamine (PE </w:t>
      </w:r>
      <w:r w:rsidDel="00000000" w:rsidR="00000000" w:rsidRPr="00000000">
        <w:rPr>
          <w:rFonts w:ascii="Times New Roman" w:cs="Times New Roman" w:eastAsia="Times New Roman" w:hAnsi="Times New Roman"/>
          <w:sz w:val="24"/>
          <w:szCs w:val="24"/>
          <w:vertAlign w:val="baseline"/>
          <w:rtl w:val="0"/>
        </w:rPr>
        <w:t xml:space="preserve">16:0/18:2);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N-oleoyl-D-</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erythro</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-sphingosylphosphorylcholine (</w:t>
      </w:r>
      <w:r w:rsidDel="00000000" w:rsidR="00000000" w:rsidRPr="00000000">
        <w:rPr>
          <w:rFonts w:ascii="Times New Roman" w:cs="Times New Roman" w:eastAsia="Times New Roman" w:hAnsi="Times New Roman"/>
          <w:sz w:val="24"/>
          <w:szCs w:val="24"/>
          <w:vertAlign w:val="baseline"/>
          <w:rtl w:val="0"/>
        </w:rPr>
        <w:t xml:space="preserve">SM d18:1/18:1);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1-(9Z-octadecenoyl)-rac-glycerol (</w:t>
      </w:r>
      <w:r w:rsidDel="00000000" w:rsidR="00000000" w:rsidRPr="00000000">
        <w:rPr>
          <w:rFonts w:ascii="Times New Roman" w:cs="Times New Roman" w:eastAsia="Times New Roman" w:hAnsi="Times New Roman"/>
          <w:sz w:val="24"/>
          <w:szCs w:val="24"/>
          <w:vertAlign w:val="baseline"/>
          <w:rtl w:val="0"/>
        </w:rPr>
        <w:t xml:space="preserve">MG 18:1(9Z)/0:0/0:0);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1,2,3-trihexadecanoyl-glycerol (</w:t>
      </w:r>
      <w:r w:rsidDel="00000000" w:rsidR="00000000" w:rsidRPr="00000000">
        <w:rPr>
          <w:rFonts w:ascii="Times New Roman" w:cs="Times New Roman" w:eastAsia="Times New Roman" w:hAnsi="Times New Roman"/>
          <w:sz w:val="24"/>
          <w:szCs w:val="24"/>
          <w:vertAlign w:val="baseline"/>
          <w:rtl w:val="0"/>
        </w:rPr>
        <w:t xml:space="preserve">TG 16:0/16:0/16:0);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1,3-di-(9Z-octadecenoyl)-2-hexadecanoyl-glycerol (</w:t>
      </w:r>
      <w:r w:rsidDel="00000000" w:rsidR="00000000" w:rsidRPr="00000000">
        <w:rPr>
          <w:rFonts w:ascii="Times New Roman" w:cs="Times New Roman" w:eastAsia="Times New Roman" w:hAnsi="Times New Roman"/>
          <w:sz w:val="24"/>
          <w:szCs w:val="24"/>
          <w:vertAlign w:val="baseline"/>
          <w:rtl w:val="0"/>
        </w:rPr>
        <w:t xml:space="preserve">TG 18:1/16:0/18:1);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1,2-distearoyl-</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sn</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-glycero-3-phospho-(1'-</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rac-</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glycerol) (</w:t>
      </w:r>
      <w:r w:rsidDel="00000000" w:rsidR="00000000" w:rsidRPr="00000000">
        <w:rPr>
          <w:rFonts w:ascii="Times New Roman" w:cs="Times New Roman" w:eastAsia="Times New Roman" w:hAnsi="Times New Roman"/>
          <w:sz w:val="24"/>
          <w:szCs w:val="24"/>
          <w:vertAlign w:val="baseline"/>
          <w:rtl w:val="0"/>
        </w:rPr>
        <w:t xml:space="preserve">PG 18:0/ 18:0);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N-lauroyl-D-</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erythro</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-sphingosyl phosphorylcholine (</w:t>
      </w:r>
      <w:r w:rsidDel="00000000" w:rsidR="00000000" w:rsidRPr="00000000">
        <w:rPr>
          <w:rFonts w:ascii="Times New Roman" w:cs="Times New Roman" w:eastAsia="Times New Roman" w:hAnsi="Times New Roman"/>
          <w:sz w:val="24"/>
          <w:szCs w:val="24"/>
          <w:vertAlign w:val="baseline"/>
          <w:rtl w:val="0"/>
        </w:rPr>
        <w:t xml:space="preserve">SM d18:1/16:0);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N-heptadecanoyl-D-</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erythro</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-sphingosine Ceramide (d17:1/17:0)</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1-heptadecanoyl-rac-glycerol </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MG 17:0)</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1,2-diheptadecanoyl-</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sn</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-glycero-3-phospho-(1'-</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rac</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-glycerol) PG(17:0/17:0)</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1,2-diheptadecanoyl-</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sn</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-glycero-3-phosphocholine (PC 17:0/17:0)</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1,2-diheptadecanoyl-sn-glycero-3-phosphoethanolamine (PE 17:0/17:0)</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1-heptadecanoyl-2-hydroxy-</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sn</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-glycero-3-phosphocholine (</w:t>
      </w:r>
      <w:r w:rsidDel="00000000" w:rsidR="00000000" w:rsidRPr="00000000">
        <w:rPr>
          <w:rFonts w:ascii="Times New Roman" w:cs="Times New Roman" w:eastAsia="Times New Roman" w:hAnsi="Times New Roman"/>
          <w:sz w:val="24"/>
          <w:szCs w:val="24"/>
          <w:vertAlign w:val="baseline"/>
          <w:rtl w:val="0"/>
        </w:rPr>
        <w:t xml:space="preserve">LPC 17:0);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1,2,3-triheptadecanoyl-glycerol</w:t>
      </w:r>
      <w:r w:rsidDel="00000000" w:rsidR="00000000" w:rsidRPr="00000000">
        <w:rPr>
          <w:rFonts w:ascii="Times New Roman" w:cs="Times New Roman" w:eastAsia="Times New Roman" w:hAnsi="Times New Roman"/>
          <w:sz w:val="24"/>
          <w:szCs w:val="24"/>
          <w:vertAlign w:val="baseline"/>
          <w:rtl w:val="0"/>
        </w:rPr>
        <w:t xml:space="preserve"> (TG 17:0/17:0/17:0). </w:t>
      </w:r>
    </w:p>
    <w:p w:rsidR="00000000" w:rsidDel="00000000" w:rsidP="00000000" w:rsidRDefault="00000000" w:rsidRPr="00000000">
      <w:pPr>
        <w:pStyle w:val="Heading1"/>
        <w:contextualSpacing w:val="0"/>
        <w:rPr>
          <w:vertAlign w:val="baseline"/>
        </w:rPr>
      </w:pPr>
      <w:r w:rsidDel="00000000" w:rsidR="00000000" w:rsidRPr="00000000">
        <w:rPr>
          <w:b w:val="1"/>
          <w:vertAlign w:val="baseline"/>
          <w:rtl w:val="0"/>
        </w:rPr>
        <w:t xml:space="preserve">Preparation of C18-PAN 96-Blade coatings </w:t>
      </w: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vertAlign w:val="baseline"/>
        </w:rPr>
      </w:pPr>
      <w:bookmarkStart w:colFirst="0" w:colLast="0" w:name="_3znysh7" w:id="3"/>
      <w:bookmarkEnd w:id="3"/>
      <w:r w:rsidDel="00000000" w:rsidR="00000000" w:rsidRPr="00000000">
        <w:rPr>
          <w:rFonts w:ascii="Times New Roman" w:cs="Times New Roman" w:eastAsia="Times New Roman" w:hAnsi="Times New Roman"/>
          <w:sz w:val="24"/>
          <w:szCs w:val="24"/>
          <w:vertAlign w:val="baseline"/>
          <w:rtl w:val="0"/>
        </w:rPr>
        <w:t xml:space="preserve">For the high-throughput analysis of lipids, coated thin-film SPME blades were applied to plasma samples with the use of the manual Concept 96 (Professional Analytical System (PAS) Technology, Magdala, Germany). TF-SPME blades were made in house. For efficient immobilization of coating particles, the stainless steel surface was conditioned by sonication of blades in strong hydrochloric acid for approximately 60 min prior to the coating process. The blades were then rinsed thoroughly </w:t>
      </w:r>
      <w:bookmarkStart w:colFirst="0" w:colLast="0" w:name="1fob9te" w:id="2"/>
      <w:bookmarkEnd w:id="2"/>
      <w:r w:rsidDel="00000000" w:rsidR="00000000" w:rsidRPr="00000000">
        <w:rPr>
          <w:rFonts w:ascii="Times New Roman" w:cs="Times New Roman" w:eastAsia="Times New Roman" w:hAnsi="Times New Roman"/>
          <w:sz w:val="24"/>
          <w:szCs w:val="24"/>
          <w:vertAlign w:val="baseline"/>
          <w:rtl w:val="0"/>
        </w:rPr>
        <w:t xml:space="preserve">with nanopure water. Subsequently, they were dried in an oven for 30 min at 150 °C, then left to cool down to room temperature. A slurry of C18-PAN mixture was sprayed to immobilize C18 particles on the surface of stainless steel blades, followed by immediate thermal curing at 180 °C for 2 min; this identical coating-curing sequence were repeated 10 times for each blade in order to ensure uniform exposure and proper thickness of the C18-PAN coating on the surface of the blades. A comprehensive description of this method is given elsewhere [1]. In this study, the commercial mixed-mode SPME fibers were enclosed beside each pin in the 12 thin-film blade set. This assembly was designed to capture other polar metabolites from the same sample on the mixed-mode coatings, while lipids are captured by the C18 thin-film coatings. As the mix-mode coating has been previously reported as the most effective sorbent for the extraction of a range of highly polar to semi-nonpolar metabolites in metabolomic studies, [2–4] this enables any potential biomarkers to be tracked and related to probable metabolic pathways, if particular biomarkers were to be found. </w:t>
      </w:r>
    </w:p>
    <w:p w:rsidR="00000000" w:rsidDel="00000000" w:rsidP="00000000" w:rsidRDefault="00000000" w:rsidRPr="00000000">
      <w:pPr>
        <w:pStyle w:val="Heading1"/>
        <w:contextualSpacing w:val="0"/>
        <w:rPr>
          <w:vertAlign w:val="baseline"/>
        </w:rPr>
      </w:pPr>
      <w:r w:rsidDel="00000000" w:rsidR="00000000" w:rsidRPr="00000000">
        <w:rPr>
          <w:b w:val="1"/>
          <w:vertAlign w:val="baseline"/>
          <w:rtl w:val="0"/>
        </w:rPr>
        <w:t xml:space="preserve">Data Quality Assurance</w:t>
      </w:r>
      <w:r w:rsidDel="00000000" w:rsidR="00000000" w:rsidRPr="00000000">
        <w:rPr>
          <w:rtl w:val="0"/>
        </w:rPr>
      </w:r>
    </w:p>
    <w:p w:rsidR="00000000" w:rsidDel="00000000" w:rsidP="00000000" w:rsidRDefault="00000000" w:rsidRPr="00000000">
      <w:pPr>
        <w:spacing w:line="360" w:lineRule="auto"/>
        <w:contextualSpacing w:val="0"/>
        <w:jc w:val="both"/>
        <w:rPr>
          <w:rFonts w:ascii="Overlock" w:cs="Overlock" w:eastAsia="Overlock" w:hAnsi="Overlock"/>
          <w:b w:val="0"/>
          <w:i w:val="0"/>
          <w:color w:val="0070c0"/>
          <w:vertAlign w:val="baseline"/>
        </w:rPr>
      </w:pPr>
      <w:r w:rsidDel="00000000" w:rsidR="00000000" w:rsidRPr="00000000">
        <w:rPr>
          <w:rFonts w:ascii="Times New Roman" w:cs="Times New Roman" w:eastAsia="Times New Roman" w:hAnsi="Times New Roman"/>
          <w:sz w:val="24"/>
          <w:szCs w:val="24"/>
          <w:vertAlign w:val="baseline"/>
          <w:rtl w:val="0"/>
        </w:rPr>
        <w:t xml:space="preserve">The stability of the chromatographic system throughout the data acquisition phase was first examined through the PCA of global datasets (biological and QC samples) and confirmed by overlapping batches; clear spatial separation was found among different sample classes, regardless of the batch injection order and randomization. No instrument failure, indicating a decline in sensitivity, RT shifts, or changes in mass accuracy, was observed. The mass accuracy was assured by tracking the MS standard calibration every 24 hours. </w:t>
      </w:r>
      <w:r w:rsidDel="00000000" w:rsidR="00000000" w:rsidRPr="00000000">
        <w:br w:type="page"/>
      </w:r>
      <w:r w:rsidDel="00000000" w:rsidR="00000000" w:rsidRPr="00000000">
        <w:rPr>
          <w:rFonts w:ascii="Overlock" w:cs="Overlock" w:eastAsia="Overlock" w:hAnsi="Overlock"/>
          <w:b w:val="1"/>
          <w:i w:val="1"/>
          <w:color w:val="0070c0"/>
          <w:vertAlign w:val="baseline"/>
        </w:rPr>
        <w:drawing>
          <wp:inline distB="0" distT="0" distL="114300" distR="114300">
            <wp:extent cx="5643245" cy="6529070"/>
            <wp:effectExtent b="0" l="0" r="0" t="0"/>
            <wp:docPr id="1"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5643245" cy="652907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2et92p0" w:id="4"/>
      <w:bookmarkEnd w:id="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Figure S- 1 Schematic of sampling order for SPME and B&amp;D procedure for cell suspension of HuH7; Each replicate tube contained approximately 8.4x10^6 cells; the experiment was repeated three times to obtain biological replicates</w:t>
      </w:r>
      <w:r w:rsidDel="00000000" w:rsidR="00000000" w:rsidRPr="00000000">
        <w:rPr>
          <w:rtl w:val="0"/>
        </w:rPr>
      </w:r>
    </w:p>
    <w:p w:rsidR="00000000" w:rsidDel="00000000" w:rsidP="00000000" w:rsidRDefault="00000000" w:rsidRPr="00000000">
      <w:pPr>
        <w:pStyle w:val="Heading1"/>
        <w:ind w:left="0" w:firstLine="0"/>
        <w:contextualSpacing w:val="0"/>
        <w:rPr>
          <w:vertAlign w:val="baseline"/>
        </w:rPr>
      </w:pPr>
      <w:r w:rsidDel="00000000" w:rsidR="00000000" w:rsidRPr="00000000">
        <w:rPr>
          <w:b w:val="1"/>
          <w:vertAlign w:val="baseline"/>
          <w:rtl w:val="0"/>
        </w:rPr>
        <w:t xml:space="preserve">LCMS method assessment </w:t>
      </w: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same set of odd lipid standards were employed for evaluation of retention time and mass intensity. As could be observed, lipids involved in the same sub-category could show different retention times due to differences in their fatty acyl chains.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Table S-1 Breakdown of lipid classes surveyed in the biostd with the use of the LC-MS system developed on the orbitrap mass spectrometer</w:t>
      </w:r>
    </w:p>
    <w:tbl>
      <w:tblPr>
        <w:tblStyle w:val="Table1"/>
        <w:tblW w:w="9180.0" w:type="dxa"/>
        <w:jc w:val="left"/>
        <w:tblInd w:w="198.0" w:type="dxa"/>
        <w:tblBorders>
          <w:top w:color="000000" w:space="0" w:sz="8" w:val="single"/>
          <w:left w:color="000000" w:space="0" w:sz="0" w:val="nil"/>
          <w:bottom w:color="000000" w:space="0" w:sz="8" w:val="single"/>
          <w:right w:color="000000" w:space="0" w:sz="0" w:val="nil"/>
          <w:insideH w:color="000000" w:space="0" w:sz="0" w:val="nil"/>
          <w:insideV w:color="000000" w:space="0" w:sz="0" w:val="nil"/>
        </w:tblBorders>
        <w:tblLayout w:type="fixed"/>
        <w:tblLook w:val="0000"/>
      </w:tblPr>
      <w:tblGrid>
        <w:gridCol w:w="3623"/>
        <w:gridCol w:w="1772"/>
        <w:gridCol w:w="1957"/>
        <w:gridCol w:w="1828"/>
        <w:tblGridChange w:id="0">
          <w:tblGrid>
            <w:gridCol w:w="3623"/>
            <w:gridCol w:w="1772"/>
            <w:gridCol w:w="1957"/>
            <w:gridCol w:w="1828"/>
          </w:tblGrid>
        </w:tblGridChange>
      </w:tblGrid>
      <w:tr>
        <w:trPr>
          <w:trHeight w:val="620" w:hRule="atLeast"/>
        </w:trPr>
        <w:tc>
          <w:tcPr>
            <w:tcBorders>
              <w:top w:color="000000" w:space="0" w:sz="8" w:val="single"/>
              <w:bottom w:color="000000" w:space="0" w:sz="8" w:val="single"/>
            </w:tcBorders>
            <w:vAlign w:val="top"/>
          </w:tcPr>
          <w:p w:rsidR="00000000" w:rsidDel="00000000" w:rsidP="00000000" w:rsidRDefault="00000000" w:rsidRPr="00000000">
            <w:pPr>
              <w:spacing w:after="0" w:lineRule="auto"/>
              <w:contextualSpacing w:val="0"/>
              <w:rP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Lipid class</w:t>
            </w:r>
            <w:r w:rsidDel="00000000" w:rsidR="00000000" w:rsidRPr="00000000">
              <w:rPr>
                <w:rtl w:val="0"/>
              </w:rPr>
            </w:r>
          </w:p>
        </w:tc>
        <w:tc>
          <w:tcPr>
            <w:gridSpan w:val="2"/>
            <w:tcBorders>
              <w:top w:color="000000" w:space="0" w:sz="8" w:val="single"/>
              <w:bottom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Ionization polarity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Positive                       Negative</w:t>
            </w:r>
            <w:r w:rsidDel="00000000" w:rsidR="00000000" w:rsidRPr="00000000">
              <w:rPr>
                <w:rtl w:val="0"/>
              </w:rPr>
            </w:r>
          </w:p>
        </w:tc>
        <w:tc>
          <w:tcPr>
            <w:tcBorders>
              <w:top w:color="000000" w:space="0" w:sz="8" w:val="single"/>
              <w:bottom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Retention time region (min)</w:t>
            </w:r>
            <w:r w:rsidDel="00000000" w:rsidR="00000000" w:rsidRPr="00000000">
              <w:rPr>
                <w:rtl w:val="0"/>
              </w:rPr>
            </w:r>
          </w:p>
        </w:tc>
      </w:tr>
      <w:tr>
        <w:trPr>
          <w:trHeight w:val="300" w:hRule="atLeast"/>
        </w:trPr>
        <w:tc>
          <w:tcPr>
            <w:vAlign w:val="top"/>
          </w:tcPr>
          <w:p w:rsidR="00000000" w:rsidDel="00000000" w:rsidP="00000000" w:rsidRDefault="00000000" w:rsidRPr="00000000">
            <w:pPr>
              <w:spacing w:after="0" w:line="240" w:lineRule="auto"/>
              <w:contextualSpacing w:val="0"/>
              <w:rPr>
                <w:vertAlign w:val="baseline"/>
              </w:rPr>
            </w:pPr>
            <w:r w:rsidDel="00000000" w:rsidR="00000000" w:rsidRPr="00000000">
              <w:rPr>
                <w:vertAlign w:val="baseline"/>
                <w:rtl w:val="0"/>
              </w:rPr>
              <w:t xml:space="preserve">Lysophospholipids (Lyso-)</w:t>
            </w:r>
          </w:p>
        </w:tc>
        <w:tc>
          <w:tcPr>
            <w:vAlign w:val="top"/>
          </w:tcPr>
          <w:p w:rsidR="00000000" w:rsidDel="00000000" w:rsidP="00000000" w:rsidRDefault="00000000" w:rsidRPr="00000000">
            <w:pPr>
              <w:spacing w:after="0" w:line="240" w:lineRule="auto"/>
              <w:contextualSpacing w:val="0"/>
              <w:jc w:val="center"/>
              <w:rPr>
                <w:vertAlign w:val="baseline"/>
              </w:rPr>
            </w:pPr>
            <w:r w:rsidDel="00000000" w:rsidR="00000000" w:rsidRPr="00000000">
              <w:rPr>
                <w:vertAlign w:val="baseline"/>
                <w:rtl w:val="0"/>
              </w:rPr>
              <w:t xml:space="preserve">[M+H]+</w:t>
            </w:r>
          </w:p>
        </w:tc>
        <w:tc>
          <w:tcPr>
            <w:vAlign w:val="top"/>
          </w:tcPr>
          <w:p w:rsidR="00000000" w:rsidDel="00000000" w:rsidP="00000000" w:rsidRDefault="00000000" w:rsidRPr="00000000">
            <w:pPr>
              <w:spacing w:after="0" w:line="240" w:lineRule="auto"/>
              <w:contextualSpacing w:val="0"/>
              <w:jc w:val="center"/>
              <w:rPr>
                <w:vertAlign w:val="baseline"/>
              </w:rPr>
            </w:pPr>
            <w:r w:rsidDel="00000000" w:rsidR="00000000" w:rsidRPr="00000000">
              <w:rPr>
                <w:vertAlign w:val="baseline"/>
                <w:rtl w:val="0"/>
              </w:rPr>
              <w:t xml:space="preserve">-</w:t>
            </w:r>
          </w:p>
        </w:tc>
        <w:tc>
          <w:tcPr>
            <w:vAlign w:val="top"/>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2-4</w:t>
            </w:r>
          </w:p>
        </w:tc>
      </w:tr>
      <w:tr>
        <w:trPr>
          <w:trHeight w:val="300" w:hRule="atLeast"/>
        </w:trPr>
        <w:tc>
          <w:tcPr>
            <w:vAlign w:val="top"/>
          </w:tcPr>
          <w:p w:rsidR="00000000" w:rsidDel="00000000" w:rsidP="00000000" w:rsidRDefault="00000000" w:rsidRPr="00000000">
            <w:pPr>
              <w:spacing w:after="0" w:line="240" w:lineRule="auto"/>
              <w:contextualSpacing w:val="0"/>
              <w:rPr>
                <w:vertAlign w:val="baseline"/>
              </w:rPr>
            </w:pPr>
            <w:r w:rsidDel="00000000" w:rsidR="00000000" w:rsidRPr="00000000">
              <w:rPr>
                <w:vertAlign w:val="baseline"/>
                <w:rtl w:val="0"/>
              </w:rPr>
              <w:t xml:space="preserve">Phosphoethanolamine (PE)</w:t>
            </w:r>
          </w:p>
        </w:tc>
        <w:tc>
          <w:tcPr>
            <w:vAlign w:val="top"/>
          </w:tcPr>
          <w:p w:rsidR="00000000" w:rsidDel="00000000" w:rsidP="00000000" w:rsidRDefault="00000000" w:rsidRPr="00000000">
            <w:pPr>
              <w:spacing w:after="0" w:line="240" w:lineRule="auto"/>
              <w:contextualSpacing w:val="0"/>
              <w:jc w:val="center"/>
              <w:rPr>
                <w:vertAlign w:val="baseline"/>
              </w:rPr>
            </w:pPr>
            <w:r w:rsidDel="00000000" w:rsidR="00000000" w:rsidRPr="00000000">
              <w:rPr>
                <w:vertAlign w:val="baseline"/>
                <w:rtl w:val="0"/>
              </w:rPr>
              <w:t xml:space="preserve">[M+H]+</w:t>
            </w:r>
          </w:p>
        </w:tc>
        <w:tc>
          <w:tcPr>
            <w:vAlign w:val="top"/>
          </w:tcPr>
          <w:p w:rsidR="00000000" w:rsidDel="00000000" w:rsidP="00000000" w:rsidRDefault="00000000" w:rsidRPr="00000000">
            <w:pPr>
              <w:spacing w:after="0" w:line="240" w:lineRule="auto"/>
              <w:contextualSpacing w:val="0"/>
              <w:jc w:val="center"/>
              <w:rPr>
                <w:vertAlign w:val="baseline"/>
              </w:rPr>
            </w:pPr>
            <w:r w:rsidDel="00000000" w:rsidR="00000000" w:rsidRPr="00000000">
              <w:rPr>
                <w:vertAlign w:val="baseline"/>
                <w:rtl w:val="0"/>
              </w:rPr>
              <w:t xml:space="preserve">-</w:t>
            </w:r>
          </w:p>
        </w:tc>
        <w:tc>
          <w:tcPr>
            <w:vAlign w:val="top"/>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10-12</w:t>
            </w:r>
          </w:p>
        </w:tc>
      </w:tr>
      <w:tr>
        <w:trPr>
          <w:trHeight w:val="300" w:hRule="atLeast"/>
        </w:trPr>
        <w:tc>
          <w:tcPr>
            <w:vAlign w:val="top"/>
          </w:tcPr>
          <w:p w:rsidR="00000000" w:rsidDel="00000000" w:rsidP="00000000" w:rsidRDefault="00000000" w:rsidRPr="00000000">
            <w:pPr>
              <w:spacing w:after="0" w:line="240" w:lineRule="auto"/>
              <w:contextualSpacing w:val="0"/>
              <w:rPr>
                <w:vertAlign w:val="baseline"/>
              </w:rPr>
            </w:pPr>
            <w:r w:rsidDel="00000000" w:rsidR="00000000" w:rsidRPr="00000000">
              <w:rPr>
                <w:vertAlign w:val="baseline"/>
                <w:rtl w:val="0"/>
              </w:rPr>
              <w:t xml:space="preserve">Phosphocholine (PC)</w:t>
            </w:r>
          </w:p>
        </w:tc>
        <w:tc>
          <w:tcPr>
            <w:vAlign w:val="top"/>
          </w:tcPr>
          <w:p w:rsidR="00000000" w:rsidDel="00000000" w:rsidP="00000000" w:rsidRDefault="00000000" w:rsidRPr="00000000">
            <w:pPr>
              <w:spacing w:after="0" w:line="240" w:lineRule="auto"/>
              <w:contextualSpacing w:val="0"/>
              <w:jc w:val="center"/>
              <w:rPr>
                <w:vertAlign w:val="baseline"/>
              </w:rPr>
            </w:pPr>
            <w:r w:rsidDel="00000000" w:rsidR="00000000" w:rsidRPr="00000000">
              <w:rPr>
                <w:vertAlign w:val="baseline"/>
                <w:rtl w:val="0"/>
              </w:rPr>
              <w:t xml:space="preserve">[M+H]+</w:t>
            </w:r>
          </w:p>
        </w:tc>
        <w:tc>
          <w:tcPr>
            <w:vAlign w:val="top"/>
          </w:tcPr>
          <w:p w:rsidR="00000000" w:rsidDel="00000000" w:rsidP="00000000" w:rsidRDefault="00000000" w:rsidRPr="00000000">
            <w:pPr>
              <w:spacing w:after="0" w:line="240" w:lineRule="auto"/>
              <w:contextualSpacing w:val="0"/>
              <w:jc w:val="center"/>
              <w:rPr>
                <w:vertAlign w:val="baseline"/>
              </w:rPr>
            </w:pPr>
            <w:r w:rsidDel="00000000" w:rsidR="00000000" w:rsidRPr="00000000">
              <w:rPr>
                <w:vertAlign w:val="baseline"/>
                <w:rtl w:val="0"/>
              </w:rPr>
              <w:t xml:space="preserve">-</w:t>
            </w:r>
          </w:p>
        </w:tc>
        <w:tc>
          <w:tcPr>
            <w:vAlign w:val="top"/>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11-13</w:t>
            </w:r>
          </w:p>
        </w:tc>
      </w:tr>
      <w:tr>
        <w:trPr>
          <w:trHeight w:val="280" w:hRule="atLeast"/>
        </w:trPr>
        <w:tc>
          <w:tcPr>
            <w:vAlign w:val="top"/>
          </w:tcPr>
          <w:p w:rsidR="00000000" w:rsidDel="00000000" w:rsidP="00000000" w:rsidRDefault="00000000" w:rsidRPr="00000000">
            <w:pPr>
              <w:spacing w:after="0" w:line="240" w:lineRule="auto"/>
              <w:contextualSpacing w:val="0"/>
              <w:rPr>
                <w:vertAlign w:val="baseline"/>
              </w:rPr>
            </w:pPr>
            <w:r w:rsidDel="00000000" w:rsidR="00000000" w:rsidRPr="00000000">
              <w:rPr>
                <w:vertAlign w:val="baseline"/>
                <w:rtl w:val="0"/>
              </w:rPr>
              <w:t xml:space="preserve">Phosphoglycerol (PG)</w:t>
            </w:r>
          </w:p>
        </w:tc>
        <w:tc>
          <w:tcPr>
            <w:vAlign w:val="top"/>
          </w:tcPr>
          <w:p w:rsidR="00000000" w:rsidDel="00000000" w:rsidP="00000000" w:rsidRDefault="00000000" w:rsidRPr="00000000">
            <w:pPr>
              <w:spacing w:after="0" w:line="240" w:lineRule="auto"/>
              <w:contextualSpacing w:val="0"/>
              <w:jc w:val="center"/>
              <w:rPr>
                <w:vertAlign w:val="baseline"/>
              </w:rPr>
            </w:pPr>
            <w:r w:rsidDel="00000000" w:rsidR="00000000" w:rsidRPr="00000000">
              <w:rPr>
                <w:vertAlign w:val="baseline"/>
                <w:rtl w:val="0"/>
              </w:rPr>
              <w:t xml:space="preserve">[M+H]+</w:t>
            </w:r>
          </w:p>
        </w:tc>
        <w:tc>
          <w:tcPr>
            <w:vAlign w:val="top"/>
          </w:tcPr>
          <w:p w:rsidR="00000000" w:rsidDel="00000000" w:rsidP="00000000" w:rsidRDefault="00000000" w:rsidRPr="00000000">
            <w:pPr>
              <w:spacing w:after="0" w:line="240" w:lineRule="auto"/>
              <w:contextualSpacing w:val="0"/>
              <w:jc w:val="center"/>
              <w:rPr>
                <w:vertAlign w:val="baseline"/>
              </w:rPr>
            </w:pPr>
            <w:r w:rsidDel="00000000" w:rsidR="00000000" w:rsidRPr="00000000">
              <w:rPr>
                <w:vertAlign w:val="baseline"/>
                <w:rtl w:val="0"/>
              </w:rPr>
              <w:t xml:space="preserve">[M-H]</w:t>
            </w:r>
            <w:r w:rsidDel="00000000" w:rsidR="00000000" w:rsidRPr="00000000">
              <w:rPr>
                <w:vertAlign w:val="superscript"/>
                <w:rtl w:val="0"/>
              </w:rPr>
              <w:t xml:space="preserve">-</w:t>
            </w:r>
            <w:r w:rsidDel="00000000" w:rsidR="00000000" w:rsidRPr="00000000">
              <w:rPr>
                <w:rtl w:val="0"/>
              </w:rPr>
            </w:r>
          </w:p>
        </w:tc>
        <w:tc>
          <w:tcPr>
            <w:vAlign w:val="top"/>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9-11</w:t>
            </w:r>
          </w:p>
        </w:tc>
      </w:tr>
      <w:tr>
        <w:trPr>
          <w:trHeight w:val="280" w:hRule="atLeast"/>
        </w:trPr>
        <w:tc>
          <w:tcPr>
            <w:vAlign w:val="top"/>
          </w:tcPr>
          <w:p w:rsidR="00000000" w:rsidDel="00000000" w:rsidP="00000000" w:rsidRDefault="00000000" w:rsidRPr="00000000">
            <w:pPr>
              <w:spacing w:after="0" w:line="240" w:lineRule="auto"/>
              <w:contextualSpacing w:val="0"/>
              <w:rPr>
                <w:vertAlign w:val="baseline"/>
              </w:rPr>
            </w:pPr>
            <w:r w:rsidDel="00000000" w:rsidR="00000000" w:rsidRPr="00000000">
              <w:rPr>
                <w:vertAlign w:val="baseline"/>
                <w:rtl w:val="0"/>
              </w:rPr>
              <w:t xml:space="preserve">Ceramide (CE)</w:t>
            </w:r>
          </w:p>
        </w:tc>
        <w:tc>
          <w:tcPr>
            <w:vAlign w:val="top"/>
          </w:tcPr>
          <w:p w:rsidR="00000000" w:rsidDel="00000000" w:rsidP="00000000" w:rsidRDefault="00000000" w:rsidRPr="00000000">
            <w:pPr>
              <w:spacing w:after="0" w:line="240" w:lineRule="auto"/>
              <w:contextualSpacing w:val="0"/>
              <w:jc w:val="center"/>
              <w:rPr>
                <w:vertAlign w:val="baseline"/>
              </w:rPr>
            </w:pPr>
            <w:r w:rsidDel="00000000" w:rsidR="00000000" w:rsidRPr="00000000">
              <w:rPr>
                <w:vertAlign w:val="baseline"/>
                <w:rtl w:val="0"/>
              </w:rPr>
              <w:t xml:space="preserve">[M+H]+</w:t>
            </w:r>
          </w:p>
        </w:tc>
        <w:tc>
          <w:tcPr>
            <w:vAlign w:val="top"/>
          </w:tcPr>
          <w:p w:rsidR="00000000" w:rsidDel="00000000" w:rsidP="00000000" w:rsidRDefault="00000000" w:rsidRPr="00000000">
            <w:pPr>
              <w:spacing w:after="0" w:line="240" w:lineRule="auto"/>
              <w:contextualSpacing w:val="0"/>
              <w:jc w:val="center"/>
              <w:rPr>
                <w:vertAlign w:val="baseline"/>
              </w:rPr>
            </w:pPr>
            <w:r w:rsidDel="00000000" w:rsidR="00000000" w:rsidRPr="00000000">
              <w:rPr>
                <w:vertAlign w:val="baseline"/>
                <w:rtl w:val="0"/>
              </w:rPr>
              <w:t xml:space="preserve">-</w:t>
            </w:r>
          </w:p>
        </w:tc>
        <w:tc>
          <w:tcPr>
            <w:vAlign w:val="top"/>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12-14</w:t>
            </w:r>
          </w:p>
        </w:tc>
      </w:tr>
      <w:tr>
        <w:trPr>
          <w:trHeight w:val="280" w:hRule="atLeast"/>
        </w:trPr>
        <w:tc>
          <w:tcPr>
            <w:vAlign w:val="top"/>
          </w:tcPr>
          <w:p w:rsidR="00000000" w:rsidDel="00000000" w:rsidP="00000000" w:rsidRDefault="00000000" w:rsidRPr="00000000">
            <w:pPr>
              <w:spacing w:after="0" w:line="240" w:lineRule="auto"/>
              <w:contextualSpacing w:val="0"/>
              <w:rPr>
                <w:vertAlign w:val="baseline"/>
              </w:rPr>
            </w:pPr>
            <w:r w:rsidDel="00000000" w:rsidR="00000000" w:rsidRPr="00000000">
              <w:rPr>
                <w:vertAlign w:val="baseline"/>
                <w:rtl w:val="0"/>
              </w:rPr>
              <w:t xml:space="preserve">Sphingomyelin (SM)</w:t>
            </w:r>
          </w:p>
        </w:tc>
        <w:tc>
          <w:tcPr>
            <w:vAlign w:val="top"/>
          </w:tcPr>
          <w:p w:rsidR="00000000" w:rsidDel="00000000" w:rsidP="00000000" w:rsidRDefault="00000000" w:rsidRPr="00000000">
            <w:pPr>
              <w:spacing w:after="0" w:line="240" w:lineRule="auto"/>
              <w:contextualSpacing w:val="0"/>
              <w:jc w:val="center"/>
              <w:rPr>
                <w:vertAlign w:val="baseline"/>
              </w:rPr>
            </w:pPr>
            <w:r w:rsidDel="00000000" w:rsidR="00000000" w:rsidRPr="00000000">
              <w:rPr>
                <w:vertAlign w:val="baseline"/>
                <w:rtl w:val="0"/>
              </w:rPr>
              <w:t xml:space="preserve">[M+H]+</w:t>
            </w:r>
          </w:p>
        </w:tc>
        <w:tc>
          <w:tcPr>
            <w:vAlign w:val="top"/>
          </w:tcPr>
          <w:p w:rsidR="00000000" w:rsidDel="00000000" w:rsidP="00000000" w:rsidRDefault="00000000" w:rsidRPr="00000000">
            <w:pPr>
              <w:spacing w:after="0" w:line="240" w:lineRule="auto"/>
              <w:contextualSpacing w:val="0"/>
              <w:jc w:val="center"/>
              <w:rPr>
                <w:vertAlign w:val="baseline"/>
              </w:rPr>
            </w:pPr>
            <w:r w:rsidDel="00000000" w:rsidR="00000000" w:rsidRPr="00000000">
              <w:rPr>
                <w:vertAlign w:val="baseline"/>
                <w:rtl w:val="0"/>
              </w:rPr>
              <w:t xml:space="preserve">-</w:t>
            </w:r>
          </w:p>
        </w:tc>
        <w:tc>
          <w:tcPr>
            <w:vAlign w:val="top"/>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9-12</w:t>
            </w:r>
          </w:p>
        </w:tc>
      </w:tr>
      <w:tr>
        <w:trPr>
          <w:trHeight w:val="280" w:hRule="atLeast"/>
        </w:trPr>
        <w:tc>
          <w:tcPr>
            <w:vAlign w:val="top"/>
          </w:tcPr>
          <w:p w:rsidR="00000000" w:rsidDel="00000000" w:rsidP="00000000" w:rsidRDefault="00000000" w:rsidRPr="00000000">
            <w:pPr>
              <w:spacing w:after="0" w:line="240" w:lineRule="auto"/>
              <w:contextualSpacing w:val="0"/>
              <w:rPr>
                <w:vertAlign w:val="baseline"/>
              </w:rPr>
            </w:pPr>
            <w:r w:rsidDel="00000000" w:rsidR="00000000" w:rsidRPr="00000000">
              <w:rPr>
                <w:vertAlign w:val="baseline"/>
                <w:rtl w:val="0"/>
              </w:rPr>
              <w:t xml:space="preserve">Monoacylglycerol (MG)</w:t>
            </w:r>
          </w:p>
        </w:tc>
        <w:tc>
          <w:tcPr>
            <w:vAlign w:val="top"/>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[M+NH4]+</w:t>
            </w:r>
          </w:p>
        </w:tc>
        <w:tc>
          <w:tcPr>
            <w:vAlign w:val="top"/>
          </w:tcPr>
          <w:p w:rsidR="00000000" w:rsidDel="00000000" w:rsidP="00000000" w:rsidRDefault="00000000" w:rsidRPr="00000000">
            <w:pPr>
              <w:spacing w:after="0" w:line="240" w:lineRule="auto"/>
              <w:contextualSpacing w:val="0"/>
              <w:jc w:val="center"/>
              <w:rPr>
                <w:vertAlign w:val="baseline"/>
              </w:rPr>
            </w:pPr>
            <w:r w:rsidDel="00000000" w:rsidR="00000000" w:rsidRPr="00000000">
              <w:rPr>
                <w:vertAlign w:val="baseline"/>
                <w:rtl w:val="0"/>
              </w:rPr>
              <w:t xml:space="preserve">-</w:t>
            </w:r>
          </w:p>
        </w:tc>
        <w:tc>
          <w:tcPr>
            <w:vAlign w:val="top"/>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7-9</w:t>
            </w:r>
          </w:p>
        </w:tc>
      </w:tr>
      <w:tr>
        <w:trPr>
          <w:trHeight w:val="280" w:hRule="atLeast"/>
        </w:trPr>
        <w:tc>
          <w:tcPr>
            <w:vAlign w:val="top"/>
          </w:tcPr>
          <w:p w:rsidR="00000000" w:rsidDel="00000000" w:rsidP="00000000" w:rsidRDefault="00000000" w:rsidRPr="00000000">
            <w:pPr>
              <w:spacing w:after="0" w:line="240" w:lineRule="auto"/>
              <w:contextualSpacing w:val="0"/>
              <w:rPr>
                <w:vertAlign w:val="baseline"/>
              </w:rPr>
            </w:pPr>
            <w:r w:rsidDel="00000000" w:rsidR="00000000" w:rsidRPr="00000000">
              <w:rPr>
                <w:vertAlign w:val="baseline"/>
                <w:rtl w:val="0"/>
              </w:rPr>
              <w:t xml:space="preserve">Diacylglycerol (DG)</w:t>
            </w:r>
          </w:p>
        </w:tc>
        <w:tc>
          <w:tcPr>
            <w:vAlign w:val="top"/>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[M+NH4]+</w:t>
            </w:r>
          </w:p>
        </w:tc>
        <w:tc>
          <w:tcPr>
            <w:vAlign w:val="top"/>
          </w:tcPr>
          <w:p w:rsidR="00000000" w:rsidDel="00000000" w:rsidP="00000000" w:rsidRDefault="00000000" w:rsidRPr="00000000">
            <w:pPr>
              <w:spacing w:after="0" w:line="240" w:lineRule="auto"/>
              <w:contextualSpacing w:val="0"/>
              <w:jc w:val="center"/>
              <w:rPr>
                <w:vertAlign w:val="baseline"/>
              </w:rPr>
            </w:pPr>
            <w:r w:rsidDel="00000000" w:rsidR="00000000" w:rsidRPr="00000000">
              <w:rPr>
                <w:vertAlign w:val="baseline"/>
                <w:rtl w:val="0"/>
              </w:rPr>
              <w:t xml:space="preserve">-</w:t>
            </w:r>
          </w:p>
        </w:tc>
        <w:tc>
          <w:tcPr>
            <w:vAlign w:val="top"/>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9-12</w:t>
            </w:r>
          </w:p>
        </w:tc>
      </w:tr>
      <w:tr>
        <w:trPr>
          <w:trHeight w:val="300" w:hRule="atLeast"/>
        </w:trPr>
        <w:tc>
          <w:tcPr>
            <w:vAlign w:val="top"/>
          </w:tcPr>
          <w:p w:rsidR="00000000" w:rsidDel="00000000" w:rsidP="00000000" w:rsidRDefault="00000000" w:rsidRPr="00000000">
            <w:pPr>
              <w:spacing w:after="0" w:line="240" w:lineRule="auto"/>
              <w:contextualSpacing w:val="0"/>
              <w:rPr>
                <w:vertAlign w:val="baseline"/>
              </w:rPr>
            </w:pPr>
            <w:r w:rsidDel="00000000" w:rsidR="00000000" w:rsidRPr="00000000">
              <w:rPr>
                <w:vertAlign w:val="baseline"/>
                <w:rtl w:val="0"/>
              </w:rPr>
              <w:t xml:space="preserve">Triacylglycerol (TG)</w:t>
            </w:r>
          </w:p>
        </w:tc>
        <w:tc>
          <w:tcPr>
            <w:vAlign w:val="top"/>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[M+NH4]+</w:t>
            </w:r>
          </w:p>
        </w:tc>
        <w:tc>
          <w:tcPr>
            <w:vAlign w:val="top"/>
          </w:tcPr>
          <w:p w:rsidR="00000000" w:rsidDel="00000000" w:rsidP="00000000" w:rsidRDefault="00000000" w:rsidRPr="00000000">
            <w:pPr>
              <w:spacing w:after="0" w:line="240" w:lineRule="auto"/>
              <w:contextualSpacing w:val="0"/>
              <w:jc w:val="center"/>
              <w:rPr>
                <w:vertAlign w:val="baseline"/>
              </w:rPr>
            </w:pPr>
            <w:r w:rsidDel="00000000" w:rsidR="00000000" w:rsidRPr="00000000">
              <w:rPr>
                <w:vertAlign w:val="baseline"/>
                <w:rtl w:val="0"/>
              </w:rPr>
              <w:t xml:space="preserve">-</w:t>
            </w:r>
          </w:p>
        </w:tc>
        <w:tc>
          <w:tcPr>
            <w:vAlign w:val="top"/>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13-18</w:t>
            </w:r>
          </w:p>
        </w:tc>
      </w:tr>
      <w:tr>
        <w:trPr>
          <w:trHeight w:val="300" w:hRule="atLeast"/>
        </w:trPr>
        <w:tc>
          <w:tcPr>
            <w:vAlign w:val="top"/>
          </w:tcPr>
          <w:p w:rsidR="00000000" w:rsidDel="00000000" w:rsidP="00000000" w:rsidRDefault="00000000" w:rsidRPr="00000000">
            <w:pPr>
              <w:spacing w:after="0" w:line="240" w:lineRule="auto"/>
              <w:contextualSpacing w:val="0"/>
              <w:rPr>
                <w:vertAlign w:val="baseline"/>
              </w:rPr>
            </w:pPr>
            <w:r w:rsidDel="00000000" w:rsidR="00000000" w:rsidRPr="00000000">
              <w:rPr>
                <w:vertAlign w:val="baseline"/>
                <w:rtl w:val="0"/>
              </w:rPr>
              <w:t xml:space="preserve">Cardiolipin (CL)</w:t>
            </w:r>
          </w:p>
        </w:tc>
        <w:tc>
          <w:tcPr>
            <w:vAlign w:val="top"/>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[M+NH4]+</w:t>
            </w:r>
          </w:p>
        </w:tc>
        <w:tc>
          <w:tcPr>
            <w:vAlign w:val="top"/>
          </w:tcPr>
          <w:p w:rsidR="00000000" w:rsidDel="00000000" w:rsidP="00000000" w:rsidRDefault="00000000" w:rsidRPr="00000000">
            <w:pPr>
              <w:spacing w:after="0" w:line="240" w:lineRule="auto"/>
              <w:contextualSpacing w:val="0"/>
              <w:jc w:val="center"/>
              <w:rPr>
                <w:vertAlign w:val="baseline"/>
              </w:rPr>
            </w:pPr>
            <w:r w:rsidDel="00000000" w:rsidR="00000000" w:rsidRPr="00000000">
              <w:rPr>
                <w:vertAlign w:val="baseline"/>
                <w:rtl w:val="0"/>
              </w:rPr>
              <w:t xml:space="preserve">-</w:t>
            </w:r>
          </w:p>
        </w:tc>
        <w:tc>
          <w:tcPr>
            <w:vAlign w:val="top"/>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15-20</w:t>
            </w:r>
          </w:p>
        </w:tc>
      </w:tr>
      <w:tr>
        <w:trPr>
          <w:trHeight w:val="300" w:hRule="atLeast"/>
        </w:trPr>
        <w:tc>
          <w:tcPr>
            <w:vAlign w:val="top"/>
          </w:tcPr>
          <w:p w:rsidR="00000000" w:rsidDel="00000000" w:rsidP="00000000" w:rsidRDefault="00000000" w:rsidRPr="00000000">
            <w:pPr>
              <w:spacing w:after="0" w:line="240" w:lineRule="auto"/>
              <w:contextualSpacing w:val="0"/>
              <w:rPr>
                <w:vertAlign w:val="baseline"/>
              </w:rPr>
            </w:pPr>
            <w:r w:rsidDel="00000000" w:rsidR="00000000" w:rsidRPr="00000000">
              <w:rPr>
                <w:vertAlign w:val="baseline"/>
                <w:rtl w:val="0"/>
              </w:rPr>
              <w:t xml:space="preserve">Phosphoserine (PS)</w:t>
            </w:r>
          </w:p>
        </w:tc>
        <w:tc>
          <w:tcPr>
            <w:vAlign w:val="top"/>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w:t>
            </w:r>
          </w:p>
        </w:tc>
        <w:tc>
          <w:tcPr>
            <w:vAlign w:val="top"/>
          </w:tcPr>
          <w:p w:rsidR="00000000" w:rsidDel="00000000" w:rsidP="00000000" w:rsidRDefault="00000000" w:rsidRPr="00000000">
            <w:pPr>
              <w:spacing w:after="0" w:line="240" w:lineRule="auto"/>
              <w:contextualSpacing w:val="0"/>
              <w:jc w:val="center"/>
              <w:rPr>
                <w:vertAlign w:val="baseline"/>
              </w:rPr>
            </w:pPr>
            <w:r w:rsidDel="00000000" w:rsidR="00000000" w:rsidRPr="00000000">
              <w:rPr>
                <w:vertAlign w:val="baseline"/>
                <w:rtl w:val="0"/>
              </w:rPr>
              <w:t xml:space="preserve">[M-H]</w:t>
            </w:r>
            <w:r w:rsidDel="00000000" w:rsidR="00000000" w:rsidRPr="00000000">
              <w:rPr>
                <w:vertAlign w:val="superscript"/>
                <w:rtl w:val="0"/>
              </w:rPr>
              <w:t xml:space="preserve">-</w:t>
            </w:r>
            <w:r w:rsidDel="00000000" w:rsidR="00000000" w:rsidRPr="00000000">
              <w:rPr>
                <w:rtl w:val="0"/>
              </w:rPr>
            </w:r>
          </w:p>
        </w:tc>
        <w:tc>
          <w:tcPr>
            <w:vAlign w:val="top"/>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11-13</w:t>
            </w:r>
          </w:p>
        </w:tc>
      </w:tr>
      <w:tr>
        <w:trPr>
          <w:trHeight w:val="300" w:hRule="atLeast"/>
        </w:trPr>
        <w:tc>
          <w:tcPr>
            <w:vAlign w:val="top"/>
          </w:tcPr>
          <w:p w:rsidR="00000000" w:rsidDel="00000000" w:rsidP="00000000" w:rsidRDefault="00000000" w:rsidRPr="00000000">
            <w:pPr>
              <w:spacing w:after="0" w:line="240" w:lineRule="auto"/>
              <w:contextualSpacing w:val="0"/>
              <w:rPr>
                <w:vertAlign w:val="baseline"/>
              </w:rPr>
            </w:pPr>
            <w:r w:rsidDel="00000000" w:rsidR="00000000" w:rsidRPr="00000000">
              <w:rPr>
                <w:vertAlign w:val="baseline"/>
                <w:rtl w:val="0"/>
              </w:rPr>
              <w:t xml:space="preserve">Phosphoinositol (PI)</w:t>
            </w:r>
          </w:p>
        </w:tc>
        <w:tc>
          <w:tcPr>
            <w:vAlign w:val="top"/>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w:t>
            </w:r>
          </w:p>
        </w:tc>
        <w:tc>
          <w:tcPr>
            <w:vAlign w:val="top"/>
          </w:tcPr>
          <w:p w:rsidR="00000000" w:rsidDel="00000000" w:rsidP="00000000" w:rsidRDefault="00000000" w:rsidRPr="00000000">
            <w:pPr>
              <w:spacing w:after="0" w:line="240" w:lineRule="auto"/>
              <w:contextualSpacing w:val="0"/>
              <w:jc w:val="center"/>
              <w:rPr>
                <w:vertAlign w:val="baseline"/>
              </w:rPr>
            </w:pPr>
            <w:r w:rsidDel="00000000" w:rsidR="00000000" w:rsidRPr="00000000">
              <w:rPr>
                <w:vertAlign w:val="baseline"/>
                <w:rtl w:val="0"/>
              </w:rPr>
              <w:t xml:space="preserve">[M-H]</w:t>
            </w:r>
            <w:r w:rsidDel="00000000" w:rsidR="00000000" w:rsidRPr="00000000">
              <w:rPr>
                <w:vertAlign w:val="superscript"/>
                <w:rtl w:val="0"/>
              </w:rPr>
              <w:t xml:space="preserve">-</w:t>
            </w:r>
            <w:r w:rsidDel="00000000" w:rsidR="00000000" w:rsidRPr="00000000">
              <w:rPr>
                <w:rtl w:val="0"/>
              </w:rPr>
            </w:r>
          </w:p>
        </w:tc>
        <w:tc>
          <w:tcPr>
            <w:vAlign w:val="top"/>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9-11</w:t>
            </w:r>
          </w:p>
        </w:tc>
      </w:tr>
      <w:tr>
        <w:trPr>
          <w:trHeight w:val="120" w:hRule="atLeast"/>
        </w:trPr>
        <w:tc>
          <w:tcPr>
            <w:vAlign w:val="top"/>
          </w:tcPr>
          <w:p w:rsidR="00000000" w:rsidDel="00000000" w:rsidP="00000000" w:rsidRDefault="00000000" w:rsidRPr="00000000">
            <w:pPr>
              <w:spacing w:after="0" w:line="240" w:lineRule="auto"/>
              <w:contextualSpacing w:val="0"/>
              <w:rPr>
                <w:vertAlign w:val="baseline"/>
              </w:rPr>
            </w:pPr>
            <w:r w:rsidDel="00000000" w:rsidR="00000000" w:rsidRPr="00000000">
              <w:rPr>
                <w:vertAlign w:val="baseline"/>
                <w:rtl w:val="0"/>
              </w:rPr>
              <w:t xml:space="preserve">Fatty Acyls (FA)</w:t>
            </w:r>
          </w:p>
        </w:tc>
        <w:tc>
          <w:tcPr>
            <w:vAlign w:val="top"/>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w:t>
            </w:r>
          </w:p>
        </w:tc>
        <w:tc>
          <w:tcPr>
            <w:vAlign w:val="top"/>
          </w:tcPr>
          <w:p w:rsidR="00000000" w:rsidDel="00000000" w:rsidP="00000000" w:rsidRDefault="00000000" w:rsidRPr="00000000">
            <w:pPr>
              <w:spacing w:after="0" w:line="240" w:lineRule="auto"/>
              <w:contextualSpacing w:val="0"/>
              <w:jc w:val="center"/>
              <w:rPr>
                <w:vertAlign w:val="baseline"/>
              </w:rPr>
            </w:pPr>
            <w:r w:rsidDel="00000000" w:rsidR="00000000" w:rsidRPr="00000000">
              <w:rPr>
                <w:vertAlign w:val="baseline"/>
                <w:rtl w:val="0"/>
              </w:rPr>
              <w:t xml:space="preserve">[M-H]</w:t>
            </w:r>
            <w:r w:rsidDel="00000000" w:rsidR="00000000" w:rsidRPr="00000000">
              <w:rPr>
                <w:vertAlign w:val="superscript"/>
                <w:rtl w:val="0"/>
              </w:rPr>
              <w:t xml:space="preserve">-</w:t>
            </w:r>
            <w:r w:rsidDel="00000000" w:rsidR="00000000" w:rsidRPr="00000000">
              <w:rPr>
                <w:rtl w:val="0"/>
              </w:rPr>
            </w:r>
          </w:p>
        </w:tc>
        <w:tc>
          <w:tcPr>
            <w:vAlign w:val="top"/>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5-8</w:t>
            </w:r>
          </w:p>
        </w:tc>
      </w:tr>
    </w:tbl>
    <w:p w:rsidR="00000000" w:rsidDel="00000000" w:rsidP="00000000" w:rsidRDefault="00000000" w:rsidRPr="00000000">
      <w:pPr>
        <w:spacing w:after="0" w:lineRule="auto"/>
        <w:contextualSpacing w:val="0"/>
        <w:rPr>
          <w:vertAlign w:val="baseline"/>
        </w:rPr>
      </w:pPr>
      <w:r w:rsidDel="00000000" w:rsidR="00000000" w:rsidRPr="00000000">
        <w:rPr>
          <w:vertAlign w:val="baseline"/>
          <w:rtl w:val="0"/>
        </w:rPr>
        <w:t xml:space="preserve">Upon analysis of standards of each lipid class and subclass, the “major adduct preference” with higher ionization intensity was determined and represented.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Sheath gas and auxiliary gas (arbitrary units), spray voltage (V), capillary temperature (°C), capillary voltage (V), tube lens voltage (V) and skimmer voltage (V) were set to 30, 10, 4000, 350, 50, 100, and 25 for positive ion mode and 55, 30, 3500, 275, -67, -85 and -24 for negative ion mode, respectively. Optimal separation was achieved using the following solvent gradient elution: Mobile B starts at 10%, remaining constant until minute 6, then increasing to 60% until minute 8, followed by a gradual increase to 70% B until minute 18, then ramping back to 10% for one minute, followed</w:t>
      </w:r>
      <w:bookmarkStart w:colFirst="0" w:colLast="0" w:name="tyjcwt" w:id="5"/>
      <w:bookmarkEnd w:id="5"/>
      <w:r w:rsidDel="00000000" w:rsidR="00000000" w:rsidRPr="00000000">
        <w:rPr>
          <w:rFonts w:ascii="Times New Roman" w:cs="Times New Roman" w:eastAsia="Times New Roman" w:hAnsi="Times New Roman"/>
          <w:sz w:val="24"/>
          <w:szCs w:val="24"/>
          <w:vertAlign w:val="baseline"/>
          <w:rtl w:val="0"/>
        </w:rPr>
        <w:t xml:space="preserve"> by four further minutes of column re-equilibration, for a</w:t>
      </w:r>
      <w:bookmarkStart w:colFirst="0" w:colLast="0" w:name="3dy6vkm" w:id="6"/>
      <w:bookmarkEnd w:id="6"/>
      <w:r w:rsidDel="00000000" w:rsidR="00000000" w:rsidRPr="00000000">
        <w:rPr>
          <w:rFonts w:ascii="Times New Roman" w:cs="Times New Roman" w:eastAsia="Times New Roman" w:hAnsi="Times New Roman"/>
          <w:sz w:val="24"/>
          <w:szCs w:val="24"/>
          <w:vertAlign w:val="baseline"/>
          <w:rtl w:val="0"/>
        </w:rPr>
        <w:t xml:space="preserve"> total run time of 22 minutes. Quality control (QC) samples were prepared by pooling 10 μL aliquots of all sample extracts. Initially, 5 injections of blank and 10 injections of pooled QC were run for “system conditioning”. </w:t>
      </w:r>
      <w:r w:rsidDel="00000000" w:rsidR="00000000" w:rsidRPr="00000000">
        <w:rPr>
          <w:rtl w:val="0"/>
        </w:rPr>
      </w:r>
    </w:p>
    <w:p w:rsidR="00000000" w:rsidDel="00000000" w:rsidP="00000000" w:rsidRDefault="00000000" w:rsidRPr="00000000">
      <w:pPr>
        <w:numPr>
          <w:ilvl w:val="0"/>
          <w:numId w:val="1"/>
        </w:numPr>
        <w:spacing w:after="0" w:before="0" w:lineRule="auto"/>
        <w:ind w:left="360" w:hanging="360"/>
        <w:contextualSpacing w:val="1"/>
        <w:rPr>
          <w:b w:val="0"/>
        </w:rPr>
      </w:pPr>
      <w:r w:rsidDel="00000000" w:rsidR="00000000" w:rsidRPr="00000000">
        <w:rPr>
          <w:b w:val="1"/>
          <w:vertAlign w:val="baseline"/>
          <w:rtl w:val="0"/>
        </w:rPr>
        <w:t xml:space="preserve">A) Standard Lipids in POSITIVE ion mode</w:t>
      </w: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Pr>
        <w:drawing>
          <wp:inline distB="0" distT="0" distL="114300" distR="114300">
            <wp:extent cx="5919470" cy="3474720"/>
            <wp:effectExtent b="0" l="0" r="0" t="0"/>
            <wp:docPr id="3"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5919470" cy="3474720"/>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1"/>
        </w:numPr>
        <w:spacing w:after="0" w:before="0" w:lineRule="auto"/>
        <w:ind w:left="360" w:hanging="360"/>
        <w:contextualSpacing w:val="1"/>
        <w:rPr>
          <w:b w:val="0"/>
        </w:rPr>
      </w:pPr>
      <w:r w:rsidDel="00000000" w:rsidR="00000000" w:rsidRPr="00000000">
        <w:rPr>
          <w:b w:val="1"/>
          <w:vertAlign w:val="baseline"/>
          <w:rtl w:val="0"/>
        </w:rPr>
        <w:t xml:space="preserve">B) Standard Lipids in NEGATIVE ion mode</w:t>
      </w:r>
      <w:r w:rsidDel="00000000" w:rsidR="00000000" w:rsidRPr="00000000">
        <w:rPr>
          <w:rtl w:val="0"/>
        </w:rPr>
      </w:r>
    </w:p>
    <w:p w:rsidR="00000000" w:rsidDel="00000000" w:rsidP="00000000" w:rsidRDefault="00000000" w:rsidRPr="00000000">
      <w:pPr>
        <w:contextualSpacing w:val="0"/>
        <w:jc w:val="both"/>
        <w:rPr>
          <w:sz w:val="24"/>
          <w:szCs w:val="24"/>
          <w:vertAlign w:val="baseline"/>
        </w:rPr>
      </w:pPr>
      <w:r w:rsidDel="00000000" w:rsidR="00000000" w:rsidRPr="00000000">
        <w:rPr>
          <w:vertAlign w:val="baseline"/>
        </w:rPr>
        <w:drawing>
          <wp:inline distB="0" distT="0" distL="114300" distR="114300">
            <wp:extent cx="5915025" cy="3293110"/>
            <wp:effectExtent b="0" l="0" r="0" t="0"/>
            <wp:docPr id="2"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5915025" cy="329311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Figure S-2 XIC chromatogram of lipid standards in A) positive and B) negative ion mode. Variations in retention time are expected for lipids of the same class and sub-class dependent on their structural orientation and acyl chain length</w:t>
      </w:r>
    </w:p>
    <w:p w:rsidR="00000000" w:rsidDel="00000000" w:rsidP="00000000" w:rsidRDefault="00000000" w:rsidRPr="00000000">
      <w:pPr>
        <w:spacing w:line="360" w:lineRule="auto"/>
        <w:contextualSpacing w:val="0"/>
        <w:jc w:val="both"/>
        <w:rPr>
          <w:vertAlign w:val="baseline"/>
        </w:rPr>
      </w:pPr>
      <w:bookmarkStart w:colFirst="0" w:colLast="0" w:name="_1t3h5sf" w:id="7"/>
      <w:bookmarkEnd w:id="7"/>
      <w:r w:rsidDel="00000000" w:rsidR="00000000" w:rsidRPr="00000000">
        <w:rPr>
          <w:rFonts w:ascii="Times New Roman" w:cs="Times New Roman" w:eastAsia="Times New Roman" w:hAnsi="Times New Roman"/>
          <w:sz w:val="24"/>
          <w:szCs w:val="24"/>
          <w:vertAlign w:val="baseline"/>
          <w:rtl w:val="0"/>
        </w:rPr>
        <w:t xml:space="preserve">Cell lipidome was profiled by injecting each sample once, in a well-considered randomized order, with periodic injection of blanks, QC, and standard lipid mixture throughout the sequence to evaluate system performance. This sample sequence yielded a total of 67 injections, each of which was run separately in positive and negative modes. The final validated LC-MS method is capable of analysing multiple categories of lipids in a single run with improved signal intensity and peak shape, while known ionization polarities and adduct preferences accommodate to confine the multiple hints when searching the ion feature against databases.</w:t>
      </w:r>
      <w:r w:rsidDel="00000000" w:rsidR="00000000" w:rsidRPr="00000000">
        <w:rPr>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Lipid standard solution and QC samples were frequently injected during the 24 hour sequence for each ion polarity. By placing these QC samples at regular intervals throughout the analytical run, LC-MS stability could be assessed, and any variation monitored in terms of relevant analytical parameters such as retention time, peak shape, peak intensity, and mass accuracy. Meanwhile, randomization of different biological replicates alternated with QCs allowed for the detection of systematic variability throughout the LC-MS measurement. </w:t>
      </w:r>
      <w:r w:rsidDel="00000000" w:rsidR="00000000" w:rsidRPr="00000000">
        <w:rPr>
          <w:rFonts w:ascii="Times New Roman" w:cs="Times New Roman" w:eastAsia="Times New Roman" w:hAnsi="Times New Roman"/>
          <w:vertAlign w:val="baseline"/>
          <w:rtl w:val="0"/>
        </w:rPr>
        <w:t xml:space="preserve">The comparison of XIC of extracts obtained with both methods showed that </w:t>
      </w:r>
      <w:r w:rsidDel="00000000" w:rsidR="00000000" w:rsidRPr="00000000">
        <w:rPr>
          <w:rFonts w:ascii="Times New Roman" w:cs="Times New Roman" w:eastAsia="Times New Roman" w:hAnsi="Times New Roman"/>
          <w:sz w:val="24"/>
          <w:szCs w:val="24"/>
          <w:vertAlign w:val="baseline"/>
          <w:rtl w:val="0"/>
        </w:rPr>
        <w:t xml:space="preserve">signal to noise ratio was 30-50 times higher for Bligh &amp; Dyer For instance, the calculated S/N of PE (35:0) with mz ratio of 720.59000 is 1682:1 for SPME, while this value for Bligh &amp; Dyer is 58180:1. The observed discrepancy in signal intensity is related to the different nature of the two extraction methods. Bligh &amp; Dyer is a liquid-liquid extraction method that exhaustively extracts all lipid components of cells, including bound and free lipid species, whilst SPME is a non-exhaustive extraction method that purely extracts lipids in their free (unbound) format. Therefore, as opposed to the B&amp;D technique, lipids involved in complex cell structures, which are bound to proteins or particles of cell membrane are not extracted by SPME under conditions of negligible depletion extraction. It should be considered that high extraction recoveries in Bligh &amp; Dyer may lead to saturation of the ESI source by most abundant phospholipids, therefore cause ionization suppression or enhancement and overload the chromatographic column and decrease its lifetime. On the other hand, higher signal intensities are indeed necessary and considered an advantage when the instrumental performance is substantial. In the LCMS method used for this research, all phospholipids were noted to elute between min 8-13, with retention times of various phospholipid subclasses varying based on their acyl moieties; in such cases, the possibility of co-elution, and consequently, saturation of ESI source is still significant.</w:t>
      </w:r>
      <w:r w:rsidDel="00000000" w:rsidR="00000000" w:rsidRPr="00000000">
        <w:rPr>
          <w:rtl w:val="0"/>
        </w:rPr>
      </w:r>
    </w:p>
    <w:p w:rsidR="00000000" w:rsidDel="00000000" w:rsidP="00000000" w:rsidRDefault="00000000" w:rsidRPr="00000000">
      <w:pPr>
        <w:pStyle w:val="Heading1"/>
        <w:contextualSpacing w:val="0"/>
        <w:rPr>
          <w:vertAlign w:val="baseline"/>
        </w:rPr>
      </w:pPr>
      <w:r w:rsidDel="00000000" w:rsidR="00000000" w:rsidRPr="00000000">
        <w:rPr>
          <w:b w:val="1"/>
          <w:vertAlign w:val="baseline"/>
          <w:rtl w:val="0"/>
        </w:rPr>
        <w:t xml:space="preserve">Quality control (QC) Monitoring- assessment of instrumental response robustness</w:t>
      </w: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Quality control samples were prepared by combining aliquots of all samples, and injected frequently within the sample set. The results for this QC were used to ensure that no systematic drift occurred throughout the entire run time. Plots of signal intensity versus QC</w:t>
      </w:r>
      <w:r w:rsidDel="00000000" w:rsidR="00000000" w:rsidRPr="00000000">
        <w:rPr>
          <w:rFonts w:ascii="Times New Roman" w:cs="Times New Roman" w:eastAsia="Times New Roman" w:hAnsi="Times New Roman"/>
          <w:i w:val="1"/>
          <w:color w:val="000000"/>
          <w:sz w:val="24"/>
          <w:szCs w:val="24"/>
          <w:vertAlign w:val="baseline"/>
          <w:rtl w:val="0"/>
        </w:rPr>
        <w:t xml:space="preserve"> </w:t>
      </w:r>
      <w:r w:rsidDel="00000000" w:rsidR="00000000" w:rsidRPr="00000000">
        <w:rPr>
          <w:rFonts w:ascii="Times New Roman" w:cs="Times New Roman" w:eastAsia="Times New Roman" w:hAnsi="Times New Roman"/>
          <w:color w:val="000000"/>
          <w:sz w:val="24"/>
          <w:szCs w:val="24"/>
          <w:vertAlign w:val="baseline"/>
          <w:rtl w:val="0"/>
        </w:rPr>
        <w:t xml:space="preserve">run order for known identified lipids for which authentic standards were available are shown in </w:t>
      </w:r>
      <w:r w:rsidDel="00000000" w:rsidR="00000000" w:rsidRPr="00000000">
        <w:rPr>
          <w:rFonts w:ascii="Times New Roman" w:cs="Times New Roman" w:eastAsia="Times New Roman" w:hAnsi="Times New Roman"/>
          <w:sz w:val="24"/>
          <w:szCs w:val="24"/>
          <w:vertAlign w:val="baseline"/>
          <w:rtl w:val="0"/>
        </w:rPr>
        <w:t xml:space="preserve">Figure S-3. </w:t>
      </w:r>
      <w:r w:rsidDel="00000000" w:rsidR="00000000" w:rsidRPr="00000000">
        <w:rPr>
          <w:rFonts w:ascii="Times New Roman" w:cs="Times New Roman" w:eastAsia="Times New Roman" w:hAnsi="Times New Roman"/>
          <w:color w:val="000000"/>
          <w:sz w:val="24"/>
          <w:szCs w:val="24"/>
          <w:vertAlign w:val="baseline"/>
          <w:rtl w:val="0"/>
        </w:rPr>
        <w:t xml:space="preserve">Lipids were selected so as to cover a wide range of signal intensities and the entire chromatographic retention times. QC1, QC2, QC3 and QC4 were considered part of the preconditioning procedure, and were included to show that the system was adequately pre-conditioned. </w:t>
      </w:r>
      <w:r w:rsidDel="00000000" w:rsidR="00000000" w:rsidRPr="00000000">
        <w:rPr>
          <w:rFonts w:ascii="Times New Roman" w:cs="Times New Roman" w:eastAsia="Times New Roman" w:hAnsi="Times New Roman"/>
          <w:sz w:val="24"/>
          <w:szCs w:val="24"/>
          <w:vertAlign w:val="baseline"/>
          <w:rtl w:val="0"/>
        </w:rPr>
        <w:t xml:space="preserve">Figure S-3 </w:t>
      </w:r>
      <w:r w:rsidDel="00000000" w:rsidR="00000000" w:rsidRPr="00000000">
        <w:rPr>
          <w:rFonts w:ascii="Times New Roman" w:cs="Times New Roman" w:eastAsia="Times New Roman" w:hAnsi="Times New Roman"/>
          <w:color w:val="000000"/>
          <w:sz w:val="24"/>
          <w:szCs w:val="24"/>
          <w:vertAlign w:val="baseline"/>
          <w:rtl w:val="0"/>
        </w:rPr>
        <w:t xml:space="preserve">shows a linear trend line for all QC injections for known lipids observed in the cell samples. The results indicate good performance of the entire LC-MS system. In addition to targeted monitoring of instrument response during a 24 hour run sequence for the selected lipids, QC samples were also used to assess the quality of global lipidomics data. This was performed by subjecting these QC samples to SIMCA processing into a PCA plot together with the entire treated and control cell samples extracted by both Bligh &amp; Dyer and SPME. As can be seen, all QC injections (shown in yellow) cluster tightly together, with no evident outliers, which is a good indication of the quality of the data set. This verifies that the instrument response was robust throughout the entire sequence and further processing and interpretation of the dataset is reliable. </w:t>
      </w:r>
    </w:p>
    <w:p w:rsidR="00000000" w:rsidDel="00000000" w:rsidP="00000000" w:rsidRDefault="00000000" w:rsidRPr="00000000">
      <w:pPr>
        <w:spacing w:line="360" w:lineRule="auto"/>
        <w:contextualSpacing w:val="0"/>
        <w:rPr>
          <w:color w:val="000000"/>
          <w:vertAlign w:val="baseline"/>
        </w:rPr>
      </w:pPr>
      <w:r w:rsidDel="00000000" w:rsidR="00000000" w:rsidRPr="00000000">
        <w:br w:type="page"/>
      </w:r>
      <w:r w:rsidDel="00000000" w:rsidR="00000000" w:rsidRPr="00000000">
        <w:rPr>
          <w:rtl w:val="0"/>
        </w:rPr>
      </w:r>
    </w:p>
    <w:p w:rsidR="00000000" w:rsidDel="00000000" w:rsidP="00000000" w:rsidRDefault="00000000" w:rsidRPr="00000000">
      <w:pPr>
        <w:spacing w:line="360" w:lineRule="auto"/>
        <w:contextualSpacing w:val="0"/>
        <w:jc w:val="center"/>
        <w:rPr>
          <w:vertAlign w:val="baseline"/>
        </w:rPr>
      </w:pPr>
      <w:bookmarkStart w:colFirst="0" w:colLast="0" w:name="_4d34og8" w:id="8"/>
      <w:bookmarkEnd w:id="8"/>
      <w:r w:rsidDel="00000000" w:rsidR="00000000" w:rsidRPr="00000000">
        <w:rPr>
          <w:vertAlign w:val="baseline"/>
        </w:rPr>
        <w:drawing>
          <wp:inline distB="0" distT="0" distL="114300" distR="114300">
            <wp:extent cx="5179695" cy="6264275"/>
            <wp:effectExtent b="0" l="0" r="0" t="0"/>
            <wp:docPr id="4" name="image9.png"/>
            <a:graphic>
              <a:graphicData uri="http://schemas.openxmlformats.org/drawingml/2006/picture">
                <pic:pic>
                  <pic:nvPicPr>
                    <pic:cNvPr id="0" name="image9.png"/>
                    <pic:cNvPicPr preferRelativeResize="0"/>
                  </pic:nvPicPr>
                  <pic:blipFill>
                    <a:blip r:embed="rId15"/>
                    <a:srcRect b="0" l="0" r="0" t="0"/>
                    <a:stretch>
                      <a:fillRect/>
                    </a:stretch>
                  </pic:blipFill>
                  <pic:spPr>
                    <a:xfrm>
                      <a:off x="0" y="0"/>
                      <a:ext cx="5179695" cy="626427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Figure S-3 Instrumental response variability for several QC injections randomized within the run sequence for selected compounds (a) CE, MG, and TG (b) SM and PE (c) PC and LPC; compounds with different signal intensity ranges are represented in separate charts</w:t>
      </w:r>
    </w:p>
    <w:bookmarkStart w:colFirst="0" w:colLast="0" w:name="2s8eyo1" w:id="9"/>
    <w:bookmarkEnd w:id="9"/>
    <w:p w:rsidR="00000000" w:rsidDel="00000000" w:rsidP="00000000" w:rsidRDefault="00000000" w:rsidRPr="00000000">
      <w:pPr>
        <w:contextualSpacing w:val="0"/>
        <w:rPr>
          <w:vertAlign w:val="baseline"/>
        </w:rPr>
      </w:pPr>
      <w:r w:rsidDel="00000000" w:rsidR="00000000" w:rsidRPr="00000000">
        <w:br w:type="page"/>
      </w:r>
      <w:r w:rsidDel="00000000" w:rsidR="00000000" w:rsidRPr="00000000">
        <w:rPr>
          <w:rtl w:val="0"/>
        </w:rPr>
      </w:r>
    </w:p>
    <w:p w:rsidR="00000000" w:rsidDel="00000000" w:rsidP="00000000" w:rsidRDefault="00000000" w:rsidRPr="00000000">
      <w:pPr>
        <w:pStyle w:val="Heading1"/>
        <w:contextualSpacing w:val="0"/>
        <w:rPr>
          <w:vertAlign w:val="baseline"/>
        </w:rPr>
      </w:pPr>
      <w:r w:rsidDel="00000000" w:rsidR="00000000" w:rsidRPr="00000000">
        <w:rPr>
          <w:b w:val="1"/>
          <w:vertAlign w:val="baseline"/>
          <w:rtl w:val="0"/>
        </w:rPr>
        <w:t xml:space="preserve">Feature Identification</w:t>
      </w: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A simple search of the Metlin and LIPID MAPS normally suggests multiple isobaric lipids for a single specific m/z ratio. A key criterion for narrowing down the selection is chromatographic retention time. Notably, lipids originally retain based on their hydrophobicity (LogP) and related acyl chain groups. Within the same lipid sub-group, retention time increases with acyl chain length and degree of saturation. Therefore, the retention time obtained for m/z value of 780.55338 that retained at min 11.40 could not possibly be a triglyceride, since all TG species retain after 13 min. Based on the validated LC/MS method, phospholipids solely produce [M+H]</w:t>
      </w:r>
      <w:r w:rsidDel="00000000" w:rsidR="00000000" w:rsidRPr="00000000">
        <w:rPr>
          <w:rFonts w:ascii="Times New Roman" w:cs="Times New Roman" w:eastAsia="Times New Roman" w:hAnsi="Times New Roman"/>
          <w:sz w:val="24"/>
          <w:szCs w:val="24"/>
          <w:vertAlign w:val="superscript"/>
          <w:rtl w:val="0"/>
        </w:rPr>
        <w:t xml:space="preserve">+</w:t>
      </w:r>
      <w:r w:rsidDel="00000000" w:rsidR="00000000" w:rsidRPr="00000000">
        <w:rPr>
          <w:rFonts w:ascii="Times New Roman" w:cs="Times New Roman" w:eastAsia="Times New Roman" w:hAnsi="Times New Roman"/>
          <w:sz w:val="24"/>
          <w:szCs w:val="24"/>
          <w:vertAlign w:val="baseline"/>
          <w:rtl w:val="0"/>
        </w:rPr>
        <w:t xml:space="preserve"> adduct ions in high intensities. This property eliminates the majority of the remaining alternatives and further refines the list. Since the accuracy of the mass spectrometry was strictly monitored, and the instrument frequently calibrated, a maximum ion tolerance on 5ppm could be confidently selected, which helped to remove plenty of hint results. For example, when searching for structures that corresponded to the unknown ion mass of 780.55338 obtained in positive ion mode, features within 0-5 ppm accuracy of the exact mass determined isobaric phospholipids that included 25 isomeric PC (36:5) species and 6 isomeric PE (39:5) species. The related peaks were inspected in the XIC chromatograms for reassurance. Figure S-4 illustrates the peak with mz ion of 962.72301, as one of the significant discriminative metabolites between control and treated cell samples which was detected by both SPME and B&amp;D methods in positive ion mode.</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spacing w:line="480" w:lineRule="auto"/>
        <w:contextualSpacing w:val="0"/>
        <w:jc w:val="both"/>
        <w:rPr>
          <w:color w:val="ff0000"/>
          <w:sz w:val="24"/>
          <w:szCs w:val="24"/>
          <w:vertAlign w:val="baseline"/>
        </w:rPr>
      </w:pPr>
      <w:bookmarkStart w:colFirst="0" w:colLast="0" w:name="_17dp8vu" w:id="10"/>
      <w:bookmarkEnd w:id="10"/>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ff0000"/>
          <w:sz w:val="24"/>
          <w:szCs w:val="24"/>
          <w:vertAlign w:val="baseline"/>
        </w:rPr>
        <w:sectPr>
          <w:type w:val="continuous"/>
          <w:pgSz w:h="15840" w:w="12240"/>
          <w:pgMar w:bottom="1440" w:top="1440" w:left="1440" w:right="1440" w:header="0"/>
        </w:sect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5941060" cy="6090285"/>
            <wp:effectExtent b="0" l="0" r="0" t="0"/>
            <wp:wrapSquare wrapText="bothSides" distB="0" distT="0" distL="114300" distR="114300"/>
            <wp:docPr id="5" name="image11.png"/>
            <a:graphic>
              <a:graphicData uri="http://schemas.openxmlformats.org/drawingml/2006/picture">
                <pic:pic>
                  <pic:nvPicPr>
                    <pic:cNvPr id="0" name="image11.png"/>
                    <pic:cNvPicPr preferRelativeResize="0"/>
                  </pic:nvPicPr>
                  <pic:blipFill>
                    <a:blip r:embed="rId16"/>
                    <a:srcRect b="0" l="0" r="0" t="0"/>
                    <a:stretch>
                      <a:fillRect/>
                    </a:stretch>
                  </pic:blipFill>
                  <pic:spPr>
                    <a:xfrm>
                      <a:off x="0" y="0"/>
                      <a:ext cx="5941060" cy="6090285"/>
                    </a:xfrm>
                    <a:prstGeom prst="rect"/>
                    <a:ln/>
                  </pic:spPr>
                </pic:pic>
              </a:graphicData>
            </a:graphic>
          </wp:anchor>
        </w:draw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Figure S-4 Example XIC chromatograms illustrates the ion 962.72301 in control vs. treated groups using SPME and B&amp;D. The chromatograms clearly confirm the changes of this species, which were not detectable in the control HUH7 cells cultured in normal condition. However, when the same cells were cultured while supplemented with EPA, this metabolite increased greatly and created a significant discrimination between cell groups in statistical analysis</w:t>
      </w:r>
    </w:p>
    <w:p w:rsidR="00000000" w:rsidDel="00000000" w:rsidP="00000000" w:rsidRDefault="00000000" w:rsidRPr="00000000">
      <w:pPr>
        <w:contextualSpacing w:val="0"/>
        <w:rPr>
          <w:rFonts w:ascii="Times New Roman" w:cs="Times New Roman" w:eastAsia="Times New Roman" w:hAnsi="Times New Roman"/>
          <w:color w:val="4f81bd"/>
          <w:vertAlign w:val="baseline"/>
        </w:rPr>
      </w:pPr>
      <w:bookmarkStart w:colFirst="0" w:colLast="0" w:name="_3rdcrjn" w:id="11"/>
      <w:bookmarkEnd w:id="11"/>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26in1rg" w:id="12"/>
      <w:bookmarkEnd w:id="1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Table S-2 List of upregulated lipids with use of SPME and Bligh &amp; Dyer methods - positive mode</w:t>
      </w:r>
      <w:r w:rsidDel="00000000" w:rsidR="00000000" w:rsidRPr="00000000">
        <w:rPr>
          <w:rFonts w:ascii="Times New Roman" w:cs="Times New Roman" w:eastAsia="Times New Roman" w:hAnsi="Times New Roman"/>
          <w:b w:val="1"/>
          <w:i w:val="0"/>
          <w:smallCaps w:val="0"/>
          <w:strike w:val="0"/>
          <w:color w:val="ff0000"/>
          <w:sz w:val="28"/>
          <w:szCs w:val="28"/>
          <w:u w:val="none"/>
          <w:shd w:fill="auto" w:val="clear"/>
          <w:vertAlign w:val="baseline"/>
          <w:rtl w:val="0"/>
        </w:rPr>
        <w:tab/>
      </w:r>
      <w:r w:rsidDel="00000000" w:rsidR="00000000" w:rsidRPr="00000000">
        <w:rPr>
          <w:rtl w:val="0"/>
        </w:rPr>
      </w:r>
    </w:p>
    <w:bookmarkStart w:colFirst="0" w:colLast="0" w:name="lnxbz9" w:id="13"/>
    <w:bookmarkEnd w:id="13"/>
    <w:bookmarkStart w:colFirst="0" w:colLast="0" w:name="35nkun2" w:id="14"/>
    <w:bookmarkEnd w:id="14"/>
    <w:bookmarkStart w:colFirst="0" w:colLast="0" w:name="1ksv4uv" w:id="15"/>
    <w:bookmarkEnd w:id="15"/>
    <w:bookmarkStart w:colFirst="0" w:colLast="0" w:name="44sinio" w:id="16"/>
    <w:bookmarkEnd w:id="16"/>
    <w:bookmarkStart w:colFirst="0" w:colLast="0" w:name="2jxsxqh" w:id="17"/>
    <w:bookmarkEnd w:id="17"/>
    <w:bookmarkStart w:colFirst="0" w:colLast="0" w:name="z337ya" w:id="18"/>
    <w:bookmarkEnd w:id="18"/>
    <w:bookmarkStart w:colFirst="0" w:colLast="0" w:name="3j2qqm3" w:id="19"/>
    <w:bookmarkEnd w:id="19"/>
    <w:bookmarkStart w:colFirst="0" w:colLast="0" w:name="1y810tw" w:id="20"/>
    <w:bookmarkEnd w:id="20"/>
    <w:tbl>
      <w:tblPr>
        <w:tblStyle w:val="Table2"/>
        <w:tblW w:w="12720.000000000002" w:type="dxa"/>
        <w:jc w:val="left"/>
        <w:tblInd w:w="0.0" w:type="dxa"/>
        <w:tblLayout w:type="fixed"/>
        <w:tblLook w:val="0000"/>
      </w:tblPr>
      <w:tblGrid>
        <w:gridCol w:w="1003"/>
        <w:gridCol w:w="1186"/>
        <w:gridCol w:w="1064"/>
        <w:gridCol w:w="1026"/>
        <w:gridCol w:w="1274"/>
        <w:gridCol w:w="1012"/>
        <w:gridCol w:w="2061"/>
        <w:gridCol w:w="1027"/>
        <w:gridCol w:w="1018"/>
        <w:gridCol w:w="1027"/>
        <w:gridCol w:w="1022"/>
        <w:tblGridChange w:id="0">
          <w:tblGrid>
            <w:gridCol w:w="1003"/>
            <w:gridCol w:w="1186"/>
            <w:gridCol w:w="1064"/>
            <w:gridCol w:w="1026"/>
            <w:gridCol w:w="1274"/>
            <w:gridCol w:w="1012"/>
            <w:gridCol w:w="2061"/>
            <w:gridCol w:w="1027"/>
            <w:gridCol w:w="1018"/>
            <w:gridCol w:w="1027"/>
            <w:gridCol w:w="1022"/>
          </w:tblGrid>
        </w:tblGridChange>
      </w:tblGrid>
      <w:tr>
        <w:trPr>
          <w:trHeight w:val="840" w:hRule="atLeast"/>
        </w:trPr>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b w:val="0"/>
                <w:color w:val="ff0000"/>
                <w:sz w:val="28"/>
                <w:szCs w:val="28"/>
                <w:vertAlign w:val="baseline"/>
              </w:rPr>
            </w:pPr>
            <w:r w:rsidDel="00000000" w:rsidR="00000000" w:rsidRPr="00000000">
              <w:rPr>
                <w:b w:val="1"/>
                <w:color w:val="ff0000"/>
                <w:sz w:val="28"/>
                <w:szCs w:val="28"/>
                <w:vertAlign w:val="baseline"/>
                <w:rtl w:val="0"/>
              </w:rPr>
              <w:t xml:space="preserve"> </w:t>
            </w:r>
            <w:r w:rsidDel="00000000" w:rsidR="00000000" w:rsidRPr="00000000">
              <w:rPr>
                <w:rtl w:val="0"/>
              </w:rPr>
            </w:r>
          </w:p>
        </w:tc>
        <w:tc>
          <w:tcPr>
            <w:gridSpan w:val="10"/>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b w:val="0"/>
                <w:color w:val="000000"/>
                <w:sz w:val="28"/>
                <w:szCs w:val="28"/>
                <w:vertAlign w:val="baseline"/>
              </w:rPr>
            </w:pPr>
            <w:r w:rsidDel="00000000" w:rsidR="00000000" w:rsidRPr="00000000">
              <w:rPr>
                <w:b w:val="1"/>
                <w:color w:val="000000"/>
                <w:sz w:val="28"/>
                <w:szCs w:val="28"/>
                <w:vertAlign w:val="baseline"/>
                <w:rtl w:val="0"/>
              </w:rPr>
              <w:t xml:space="preserve">Up-regulated- Positive</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Fold Change</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VIP</w:t>
            </w:r>
            <w:r w:rsidDel="00000000" w:rsidR="00000000" w:rsidRPr="00000000">
              <w:rPr>
                <w:rtl w:val="0"/>
              </w:rPr>
            </w:r>
          </w:p>
        </w:tc>
      </w:tr>
      <w:tr>
        <w:trPr>
          <w:trHeight w:val="480" w:hRule="atLeast"/>
        </w:trPr>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Input mz</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Exact mz</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RT (min)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Metabolite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of hits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Class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SPME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B&amp;D</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SPME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B&amp;D</w:t>
            </w:r>
            <w:r w:rsidDel="00000000" w:rsidR="00000000" w:rsidRPr="00000000">
              <w:rPr>
                <w:rtl w:val="0"/>
              </w:rPr>
            </w:r>
          </w:p>
        </w:tc>
      </w:tr>
      <w:tr>
        <w:trPr>
          <w:trHeight w:val="9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780.55338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780.5538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11.41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PC (36:5) or PE (39:5)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33</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56</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23</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4.35</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10.33</w:t>
            </w:r>
          </w:p>
        </w:tc>
      </w:tr>
      <w:tr>
        <w:trPr>
          <w:trHeight w:val="9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806.56897</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806.5694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11.36</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PC (38:6) or PE (41:6)</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37</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41</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8</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3.5</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8.37</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990.75424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990.7545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13.8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TG (62:15)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6</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Glycerolipid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2566</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291</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3.01</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7.93</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268.99826</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1.88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Unidentified</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5</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ND</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6.22</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ND</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146.01881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1.86</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Unidentified</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ND</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5.67</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ND</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6</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522.35518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522.3554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3.59</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LPC(18:1)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20</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10</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ND</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2.78</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ND</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7</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949.72522</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949.728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16.08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TG (60:13)</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14</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Glycerolipid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3383</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119</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1.11</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2.56</w:t>
            </w:r>
          </w:p>
        </w:tc>
      </w:tr>
      <w:tr>
        <w:trPr>
          <w:trHeight w:val="3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807.57242</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807.5647</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11.36</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PE (40:7) </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22</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43</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8</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2.48</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6.01</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9</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854.56918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854.5694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10.71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PC (42:10)</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9</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4653</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64</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2.37</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7.01</w:t>
            </w:r>
          </w:p>
        </w:tc>
      </w:tr>
      <w:tr>
        <w:trPr>
          <w:trHeight w:val="9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10</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834.60018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834.6007</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11.72</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PC (40:6) or PE (43:6)</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30</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9</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5</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3.4</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4.9</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337.10448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337.107</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2.17</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Isopsoralidin</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Polyketide</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6</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ND</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2.02</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ND</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12</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962.72301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962.7232</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13.32</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TG (60:15)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Glycerolipid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3763</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353</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2.7</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6.74</w:t>
            </w:r>
          </w:p>
        </w:tc>
      </w:tr>
      <w:tr>
        <w:trPr>
          <w:trHeight w:val="3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13</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802.53533</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802.5381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11.41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PC (38:8)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56</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28</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1.86</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1.57</w:t>
            </w:r>
          </w:p>
        </w:tc>
      </w:tr>
      <w:tr>
        <w:trPr>
          <w:trHeight w:val="9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778.53784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778.5381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10.87</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PC (36:6) or PE (39:6)</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28</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44</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18</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190</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5.51</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1018.78551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1018.7858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14.33</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TG (64:15)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6</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Glycerolipid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2822</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299</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1.68</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4.69</w:t>
            </w:r>
          </w:p>
        </w:tc>
      </w:tr>
      <w:tr>
        <w:trPr>
          <w:trHeight w:val="9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16</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808.58482</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808.5851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11.79</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PC (38:5) or PE (41:5)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36</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8</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1.73</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3.07</w:t>
            </w:r>
          </w:p>
        </w:tc>
      </w:tr>
      <w:tr>
        <w:trPr>
          <w:trHeight w:val="12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17</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703.57479</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703.5749</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12.36</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PE-Cer(37:1) or SM(34:1)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6</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Sphingolipid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11</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ND</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1.66</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ND</w:t>
            </w:r>
          </w:p>
        </w:tc>
      </w:tr>
      <w:tr>
        <w:trPr>
          <w:trHeight w:val="3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766.57443</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766.5745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11.79</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PC (36:4)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18</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40</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30</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1.47</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4.31</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19</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752.52239</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752.5225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10.88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PE (37:5) PC(34:5)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23</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103</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1.42</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4.42</w:t>
            </w:r>
          </w:p>
        </w:tc>
      </w:tr>
      <w:tr>
        <w:trPr>
          <w:trHeight w:val="3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20</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856.58486</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856.5851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11.07</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PC (42:9)</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14</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116</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67</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1.01</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3.29</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942.75437</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942.7545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15.26</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TG (58:11)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28</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Glycerolipid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3398</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251</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1.39</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4.31</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22</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916.73863</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916.7389</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15.41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TG (56:10)</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26</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Glycerolipid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3939</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220</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1.36</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4.25</w:t>
            </w:r>
          </w:p>
        </w:tc>
      </w:tr>
      <w:tr>
        <w:trPr>
          <w:trHeight w:val="3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23</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764.55849</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764.5589</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11.64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PC (36:5) </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6</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96</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26</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1.29</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3.89</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921.69405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921.6967</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15.41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TG (58:13)</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Glycerolipid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2989</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111</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1.26</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3.12</w:t>
            </w:r>
          </w:p>
        </w:tc>
      </w:tr>
      <w:tr>
        <w:trPr>
          <w:trHeight w:val="9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764.52227</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764.5225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11.46</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PE (38:6) or PC (35:6)</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31</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21</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10</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1.29</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3.89</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26</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970.78556</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970.7858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15.91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TG (60:11)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30</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Glycerolipid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2165</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175</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1.23</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3.58</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27</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944.76997</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994.7702</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16.08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TG (58:10)</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38</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Glycerolipid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786</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188</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1.21</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3.71</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882.60059</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882.6007</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11.05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PC (44:10)</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6</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1799</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214</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1.19</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4.29</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29</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804.55328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804.5538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10.92</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PC (36:4) PE (39:4)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21</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112</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4</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1.11</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3.08</w:t>
            </w:r>
          </w:p>
        </w:tc>
      </w:tr>
      <w:tr>
        <w:trPr>
          <w:trHeight w:val="9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30</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768.55314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768.5538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12:59</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PE (38:4) or PC (35:4)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51</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ND</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1.19</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ND</w:t>
            </w:r>
          </w:p>
        </w:tc>
      </w:tr>
      <w:tr>
        <w:trPr>
          <w:trHeight w:val="9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738.50655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738.5068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11.51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PE (36:5) or PC (33:5)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24</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29</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21</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1.3</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&lt;1</w:t>
            </w:r>
          </w:p>
        </w:tc>
      </w:tr>
      <w:tr>
        <w:trPr>
          <w:trHeight w:val="3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32</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832.58469</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832.5851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11:25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PC (40:7) </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23</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17</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4</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1.01</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2.85</w:t>
            </w:r>
          </w:p>
        </w:tc>
      </w:tr>
      <w:tr>
        <w:trPr>
          <w:trHeight w:val="3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33</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792.58985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792.5902</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11.71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PC (38:5)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19</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59</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19</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1.44</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3.06</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922.69748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922.7045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15.41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TG (58:10)</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Glycerolipid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59</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19</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1.02</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2.51</w:t>
            </w:r>
          </w:p>
        </w:tc>
      </w:tr>
      <w:tr>
        <w:trPr>
          <w:trHeight w:val="9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794.56952</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794.5694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12.48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PE (40:5) or PC (37:5)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40</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4</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1.97</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2.7</w:t>
            </w:r>
          </w:p>
        </w:tc>
      </w:tr>
      <w:tr>
        <w:trPr>
          <w:trHeight w:val="3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36</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750.5425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750.5432</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12.16</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PE (38:5)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15</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5</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1.16</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1.95</w:t>
            </w:r>
          </w:p>
        </w:tc>
      </w:tr>
      <w:tr>
        <w:trPr>
          <w:trHeight w:val="3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37</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828.5535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828.5538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10.73</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PC (40:9)</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12</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295</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96</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1.44</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4.29</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480.30832</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480.3085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3.83</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Lyso PE (18:1)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5</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ND</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1.01</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ND</w:t>
            </w:r>
          </w:p>
        </w:tc>
      </w:tr>
      <w:tr>
        <w:trPr>
          <w:trHeight w:val="3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39</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721.50641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721.5014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13.39</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PG (32:1)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14</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5</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ND</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1.01</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ND</w:t>
            </w:r>
          </w:p>
        </w:tc>
      </w:tr>
    </w:tbl>
    <w:p w:rsidR="00000000" w:rsidDel="00000000" w:rsidP="00000000" w:rsidRDefault="00000000" w:rsidRPr="00000000">
      <w:pPr>
        <w:spacing w:after="0" w:line="240" w:lineRule="auto"/>
        <w:contextualSpacing w:val="0"/>
        <w:rPr>
          <w:b w:val="0"/>
          <w:vertAlign w:val="baseline"/>
        </w:rPr>
      </w:pPr>
      <w:r w:rsidDel="00000000" w:rsidR="00000000" w:rsidRPr="00000000">
        <w:rPr>
          <w:rtl w:val="0"/>
        </w:rPr>
      </w:r>
    </w:p>
    <w:tbl>
      <w:tblPr>
        <w:tblStyle w:val="Table3"/>
        <w:tblW w:w="12720.0" w:type="dxa"/>
        <w:jc w:val="left"/>
        <w:tblInd w:w="93.0" w:type="dxa"/>
        <w:tblLayout w:type="fixed"/>
        <w:tblLook w:val="0000"/>
      </w:tblPr>
      <w:tblGrid>
        <w:gridCol w:w="887"/>
        <w:gridCol w:w="1373"/>
        <w:gridCol w:w="1250"/>
        <w:gridCol w:w="972"/>
        <w:gridCol w:w="1460"/>
        <w:gridCol w:w="921"/>
        <w:gridCol w:w="1941"/>
        <w:gridCol w:w="976"/>
        <w:gridCol w:w="942"/>
        <w:gridCol w:w="976"/>
        <w:gridCol w:w="1022"/>
        <w:tblGridChange w:id="0">
          <w:tblGrid>
            <w:gridCol w:w="887"/>
            <w:gridCol w:w="1373"/>
            <w:gridCol w:w="1250"/>
            <w:gridCol w:w="972"/>
            <w:gridCol w:w="1460"/>
            <w:gridCol w:w="921"/>
            <w:gridCol w:w="1941"/>
            <w:gridCol w:w="976"/>
            <w:gridCol w:w="942"/>
            <w:gridCol w:w="976"/>
            <w:gridCol w:w="1022"/>
          </w:tblGrid>
        </w:tblGridChange>
      </w:tblGrid>
      <w:tr>
        <w:trPr>
          <w:trHeight w:val="840" w:hRule="atLeast"/>
        </w:trPr>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b w:val="0"/>
                <w:color w:val="ff0000"/>
                <w:sz w:val="28"/>
                <w:szCs w:val="28"/>
                <w:vertAlign w:val="baseline"/>
              </w:rPr>
            </w:pPr>
            <w:r w:rsidDel="00000000" w:rsidR="00000000" w:rsidRPr="00000000">
              <w:rPr>
                <w:b w:val="1"/>
                <w:color w:val="ff0000"/>
                <w:sz w:val="28"/>
                <w:szCs w:val="28"/>
                <w:vertAlign w:val="baseline"/>
                <w:rtl w:val="0"/>
              </w:rPr>
              <w:t xml:space="preserve"> </w:t>
            </w:r>
            <w:r w:rsidDel="00000000" w:rsidR="00000000" w:rsidRPr="00000000">
              <w:rPr>
                <w:rtl w:val="0"/>
              </w:rPr>
            </w:r>
          </w:p>
        </w:tc>
        <w:tc>
          <w:tcPr>
            <w:gridSpan w:val="10"/>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b w:val="0"/>
                <w:color w:val="000000"/>
                <w:sz w:val="28"/>
                <w:szCs w:val="28"/>
                <w:vertAlign w:val="baseline"/>
              </w:rPr>
            </w:pPr>
            <w:r w:rsidDel="00000000" w:rsidR="00000000" w:rsidRPr="00000000">
              <w:rPr>
                <w:b w:val="1"/>
                <w:color w:val="000000"/>
                <w:sz w:val="28"/>
                <w:szCs w:val="28"/>
                <w:vertAlign w:val="baseline"/>
                <w:rtl w:val="0"/>
              </w:rPr>
              <w:t xml:space="preserve">Up-regulated- Positive</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Fold Change</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VIP</w:t>
            </w:r>
            <w:r w:rsidDel="00000000" w:rsidR="00000000" w:rsidRPr="00000000">
              <w:rPr>
                <w:rtl w:val="0"/>
              </w:rPr>
            </w:r>
          </w:p>
        </w:tc>
      </w:tr>
      <w:tr>
        <w:trPr>
          <w:trHeight w:val="480" w:hRule="atLeast"/>
        </w:trPr>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Input mz</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Exact mz</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RT (min)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Metabolite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of hits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Class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SPME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B&amp;D</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SPME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B&amp;D</w:t>
            </w:r>
            <w:r w:rsidDel="00000000" w:rsidR="00000000" w:rsidRPr="00000000">
              <w:rPr>
                <w:rtl w:val="0"/>
              </w:rPr>
            </w:r>
          </w:p>
        </w:tc>
      </w:tr>
      <w:tr>
        <w:trPr>
          <w:trHeight w:val="9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780.55338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780.5538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11.41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PC (36:5) or PE (39:5)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33</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56</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23</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4.35</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10.33</w:t>
            </w:r>
          </w:p>
        </w:tc>
      </w:tr>
      <w:tr>
        <w:trPr>
          <w:trHeight w:val="9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806.56897</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806.5694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11.36</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PC (38:6) or PE (41:6)</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37</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41</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8</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3.5</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8.37</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990.75424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990.7545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13.8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TG (62:15)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6</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Glycerolipid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2566</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291</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3.01</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7.93</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268.99826</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1.88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Unidentified</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5</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ND</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6.22</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ND</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146.01881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1.86</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Unidentified</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ND</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5.67</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ND</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6</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522.35518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522.3554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3.59</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LPC(18:1)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20</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10</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ND</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2.78</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ND</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7</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949.72522</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949.728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16.08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TG (60:13)</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14</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Glycerolipid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3383</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119</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1.11</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2.56</w:t>
            </w:r>
          </w:p>
        </w:tc>
      </w:tr>
      <w:tr>
        <w:trPr>
          <w:trHeight w:val="3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807.57242</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807.5647</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11.36</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PE (40:7) </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22</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43</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8</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2.48</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6.01</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9</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854.56918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854.5694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10.71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PC (42:10)</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9</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4653</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64</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2.37</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7.01</w:t>
            </w:r>
          </w:p>
        </w:tc>
      </w:tr>
      <w:tr>
        <w:trPr>
          <w:trHeight w:val="9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10</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834.60018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834.6007</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11.72</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PC (40:6) or PE (43:6)</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30</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9</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5</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3.4</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4.9</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337.10448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337.107</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2.17</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Isopsoralidin</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Polyketide</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6</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ND</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2.02</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ND</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12</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962.72301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962.7232</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13.32</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TG (60:15)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Glycerolipid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3763</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353</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2.7</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6.74</w:t>
            </w:r>
          </w:p>
        </w:tc>
      </w:tr>
      <w:tr>
        <w:trPr>
          <w:trHeight w:val="3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13</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802.53533</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802.5381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11.41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PC (38:8)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56</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28</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1.86</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1.57</w:t>
            </w:r>
          </w:p>
        </w:tc>
      </w:tr>
      <w:tr>
        <w:trPr>
          <w:trHeight w:val="9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778.53784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778.5381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10.87</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PC (36:6) or PE (39:6)</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28</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44</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18</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190</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5.51</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1018.78551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1018.7858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14.33</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TG (64:15)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6</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Glycerolipid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2822</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299</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1.68</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4.69</w:t>
            </w:r>
          </w:p>
        </w:tc>
      </w:tr>
      <w:tr>
        <w:trPr>
          <w:trHeight w:val="9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16</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808.58482</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808.5851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11.79</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PC (38:5) or PE (41:5)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36</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8</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1.73</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3.07</w:t>
            </w:r>
          </w:p>
        </w:tc>
      </w:tr>
      <w:tr>
        <w:trPr>
          <w:trHeight w:val="12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17</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703.57479</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703.5749</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12.36</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PE-Cer(37:1) or SM(34:1)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6</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Sphingolipid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11</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ND</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1.66</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ND</w:t>
            </w:r>
          </w:p>
        </w:tc>
      </w:tr>
      <w:tr>
        <w:trPr>
          <w:trHeight w:val="3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766.57443</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766.5745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11.79</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PC (36:4)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18</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40</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30</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1.47</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4.31</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19</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752.52239</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752.5225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10.88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PE (37:5) PC(34:5)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23</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103</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1.42</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4.42</w:t>
            </w:r>
          </w:p>
        </w:tc>
      </w:tr>
      <w:tr>
        <w:trPr>
          <w:trHeight w:val="3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20</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856.58486</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856.5851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11.07</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PC (42:9)</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14</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116</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67</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1.01</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3.29</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942.75437</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942.7545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15.26</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TG (58:11)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28</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Glycerolipid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3398</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251</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1.39</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4.31</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22</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916.73863</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916.7389</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15.41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TG (56:10)</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26</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Glycerolipid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3939</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220</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1.36</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4.25</w:t>
            </w:r>
          </w:p>
        </w:tc>
      </w:tr>
      <w:tr>
        <w:trPr>
          <w:trHeight w:val="3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23</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764.55849</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764.5589</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11.64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PC (36:5) </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6</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96</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26</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1.29</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3.89</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921.69405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921.6967</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15.41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TG (58:13)</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Glycerolipid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2989</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111</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1.26</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3.12</w:t>
            </w:r>
          </w:p>
        </w:tc>
      </w:tr>
      <w:tr>
        <w:trPr>
          <w:trHeight w:val="9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764.52227</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764.5225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11.46</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PE (38:6) or PC (35:6)</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31</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21</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10</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1.29</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3.89</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26</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970.78556</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970.7858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15.91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TG (60:11)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30</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Glycerolipid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2165</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175</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1.23</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3.58</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27</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944.76997</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994.7702</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16.08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TG (58:10)</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38</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Glycerolipid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786</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188</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1.21</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3.71</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882.60059</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882.6007</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11.05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PC (44:10)</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6</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1799</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214</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1.19</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4.29</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29</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804.55328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804.5538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10.92</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PC (36:4) PE (39:4)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21</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112</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4</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1.11</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3.08</w:t>
            </w:r>
          </w:p>
        </w:tc>
      </w:tr>
      <w:tr>
        <w:trPr>
          <w:trHeight w:val="9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30</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768.55314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768.5538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12:59</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PE (38:4) or PC (35:4)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51</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ND</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1.19</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ND</w:t>
            </w:r>
          </w:p>
        </w:tc>
      </w:tr>
      <w:tr>
        <w:trPr>
          <w:trHeight w:val="9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738.50655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738.5068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11.51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PE (36:5) or PC (33:5)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24</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29</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21</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1.3</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&lt;1</w:t>
            </w:r>
          </w:p>
        </w:tc>
      </w:tr>
      <w:tr>
        <w:trPr>
          <w:trHeight w:val="3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32</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832.58469</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832.5851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11:25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PC (40:7) </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23</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17</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4</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1.01</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2.85</w:t>
            </w:r>
          </w:p>
        </w:tc>
      </w:tr>
      <w:tr>
        <w:trPr>
          <w:trHeight w:val="3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33</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792.58985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792.5902</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11.71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PC (38:5)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19</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59</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19</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1.44</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3.06</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922.69748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922.7045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15.41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TG (58:10)</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Glycerolipid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59</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19</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1.02</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2.51</w:t>
            </w:r>
          </w:p>
        </w:tc>
      </w:tr>
      <w:tr>
        <w:trPr>
          <w:trHeight w:val="9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794.56952</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794.5694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12.48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PE (40:5) or PC (37:5)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40</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4</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1.97</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2.7</w:t>
            </w:r>
          </w:p>
        </w:tc>
      </w:tr>
      <w:tr>
        <w:trPr>
          <w:trHeight w:val="3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36</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750.5425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750.5432</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12.16</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PE (38:5)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15</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5</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1.16</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1.95</w:t>
            </w:r>
          </w:p>
        </w:tc>
      </w:tr>
      <w:tr>
        <w:trPr>
          <w:trHeight w:val="3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37</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828.5535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828.5538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10.73</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PC (40:9)</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12</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295</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96</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1.44</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4.29</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480.30832</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480.3085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3.83</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Lyso PE (18:1)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5</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ND</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1.01</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ND</w:t>
            </w:r>
          </w:p>
        </w:tc>
      </w:tr>
      <w:tr>
        <w:trPr>
          <w:trHeight w:val="3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39</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721.50641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721.5014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13.39</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PG (32:1)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14</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5</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ND</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1.01</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ND</w:t>
            </w:r>
          </w:p>
        </w:tc>
      </w:tr>
    </w:tbl>
    <w:p w:rsidR="00000000" w:rsidDel="00000000" w:rsidP="00000000" w:rsidRDefault="00000000" w:rsidRPr="00000000">
      <w:pPr>
        <w:spacing w:after="0" w:line="240" w:lineRule="auto"/>
        <w:contextualSpacing w:val="0"/>
        <w:rPr>
          <w:b w:val="0"/>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Table S-3 List of up-regulated lipids obtained with use of SPME and Bligh &amp; Dyer methods -negative mode</w:t>
      </w:r>
    </w:p>
    <w:p w:rsidR="00000000" w:rsidDel="00000000" w:rsidP="00000000" w:rsidRDefault="00000000" w:rsidRPr="00000000">
      <w:pPr>
        <w:spacing w:after="0" w:lineRule="auto"/>
        <w:contextualSpacing w:val="0"/>
        <w:rPr>
          <w:vertAlign w:val="baseline"/>
        </w:rPr>
      </w:pPr>
      <w:bookmarkStart w:colFirst="0" w:colLast="0" w:name="_4i7ojhp" w:id="21"/>
      <w:bookmarkEnd w:id="21"/>
      <w:r w:rsidDel="00000000" w:rsidR="00000000" w:rsidRPr="00000000">
        <w:rPr>
          <w:rtl w:val="0"/>
        </w:rPr>
      </w:r>
    </w:p>
    <w:tbl>
      <w:tblPr>
        <w:tblStyle w:val="Table4"/>
        <w:tblW w:w="11660.000000000002" w:type="dxa"/>
        <w:jc w:val="left"/>
        <w:tblInd w:w="93.0" w:type="dxa"/>
        <w:tblLayout w:type="fixed"/>
        <w:tblLook w:val="0000"/>
      </w:tblPr>
      <w:tblGrid>
        <w:gridCol w:w="819"/>
        <w:gridCol w:w="1250"/>
        <w:gridCol w:w="1129"/>
        <w:gridCol w:w="939"/>
        <w:gridCol w:w="1372"/>
        <w:gridCol w:w="871"/>
        <w:gridCol w:w="1483"/>
        <w:gridCol w:w="946"/>
        <w:gridCol w:w="897"/>
        <w:gridCol w:w="946"/>
        <w:gridCol w:w="1008"/>
        <w:tblGridChange w:id="0">
          <w:tblGrid>
            <w:gridCol w:w="819"/>
            <w:gridCol w:w="1250"/>
            <w:gridCol w:w="1129"/>
            <w:gridCol w:w="939"/>
            <w:gridCol w:w="1372"/>
            <w:gridCol w:w="871"/>
            <w:gridCol w:w="1483"/>
            <w:gridCol w:w="946"/>
            <w:gridCol w:w="897"/>
            <w:gridCol w:w="946"/>
            <w:gridCol w:w="1008"/>
          </w:tblGrid>
        </w:tblGridChange>
      </w:tblGrid>
      <w:tr>
        <w:trPr>
          <w:trHeight w:val="560" w:hRule="atLeast"/>
        </w:trPr>
        <w:tc>
          <w:tcPr>
            <w:gridSpan w:val="11"/>
            <w:tcBorders>
              <w:top w:color="000000" w:space="0" w:sz="0" w:val="nil"/>
              <w:left w:color="ffffff" w:space="0" w:sz="4" w:val="single"/>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b w:val="0"/>
                <w:sz w:val="28"/>
                <w:szCs w:val="28"/>
                <w:vertAlign w:val="baseline"/>
              </w:rPr>
            </w:pPr>
            <w:r w:rsidDel="00000000" w:rsidR="00000000" w:rsidRPr="00000000">
              <w:rPr>
                <w:b w:val="1"/>
                <w:sz w:val="28"/>
                <w:szCs w:val="28"/>
                <w:vertAlign w:val="baseline"/>
                <w:rtl w:val="0"/>
              </w:rPr>
              <w:t xml:space="preserve">Up-regulated-Negative </w:t>
            </w:r>
            <w:r w:rsidDel="00000000" w:rsidR="00000000" w:rsidRPr="00000000">
              <w:rPr>
                <w:rtl w:val="0"/>
              </w:rPr>
            </w:r>
          </w:p>
        </w:tc>
      </w:tr>
      <w:tr>
        <w:trPr>
          <w:trHeight w:val="280" w:hRule="atLeast"/>
        </w:trPr>
        <w:tc>
          <w:tcPr>
            <w:gridSpan w:val="7"/>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Fold Change</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VIP</w:t>
            </w:r>
            <w:r w:rsidDel="00000000" w:rsidR="00000000" w:rsidRPr="00000000">
              <w:rPr>
                <w:rtl w:val="0"/>
              </w:rPr>
            </w:r>
          </w:p>
        </w:tc>
      </w:tr>
      <w:tr>
        <w:trPr>
          <w:trHeight w:val="480" w:hRule="atLeast"/>
        </w:trPr>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Input mz</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Exact mz</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RT (min)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Metabolite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of hits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Class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SPME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B&amp;D</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SPME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B&amp;D</w:t>
            </w:r>
            <w:r w:rsidDel="00000000" w:rsidR="00000000" w:rsidRPr="00000000">
              <w:rPr>
                <w:rtl w:val="0"/>
              </w:rPr>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301.21768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301.2173</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3.23</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EPA (20:5)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13</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Fatty acid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356</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219</w:t>
            </w:r>
          </w:p>
        </w:tc>
        <w:tc>
          <w:tcPr>
            <w:tcBorders>
              <w:top w:color="000000" w:space="0" w:sz="0" w:val="nil"/>
              <w:left w:color="ffffff" w:space="0" w:sz="8" w:val="single"/>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20.1</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15.4</w:t>
            </w:r>
          </w:p>
        </w:tc>
      </w:tr>
      <w:tr>
        <w:trPr>
          <w:trHeight w:val="9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283.26453</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283.2643</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9.34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Stearic Acid (18:0)</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25</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Fatty acid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4</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w:t>
            </w:r>
          </w:p>
        </w:tc>
        <w:tc>
          <w:tcPr>
            <w:tcBorders>
              <w:top w:color="000000" w:space="0" w:sz="0" w:val="nil"/>
              <w:left w:color="ffffff" w:space="0" w:sz="8" w:val="single"/>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4.94</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7.14</w:t>
            </w:r>
          </w:p>
        </w:tc>
      </w:tr>
      <w:tr>
        <w:trPr>
          <w:trHeight w:val="9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255.23317</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255.233</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5.85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Palmitic acid (16:0)</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32</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Fatty acid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6</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w:t>
            </w:r>
          </w:p>
        </w:tc>
        <w:tc>
          <w:tcPr>
            <w:tcBorders>
              <w:top w:color="000000" w:space="0" w:sz="0" w:val="nil"/>
              <w:left w:color="ffffff" w:space="0" w:sz="8" w:val="single"/>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4.56</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6.5</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329.24916</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329.2486</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4.15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DPA (22:5)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Fatty acid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28</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28</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7.61</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6.01</w:t>
            </w:r>
          </w:p>
        </w:tc>
      </w:tr>
      <w:tr>
        <w:trPr>
          <w:trHeight w:val="9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331.26493</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331.2643</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5.41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Adrenic acid (22:4)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12</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Fatty acid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13</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1.11</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1.01</w:t>
            </w:r>
          </w:p>
        </w:tc>
      </w:tr>
      <w:tr>
        <w:trPr>
          <w:trHeight w:val="9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6</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281.24898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281.2486</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6.19</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Oleic acid (18:1)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69</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Fatty acid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11</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2.38</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1.93</w:t>
            </w:r>
          </w:p>
        </w:tc>
      </w:tr>
      <w:tr>
        <w:trPr>
          <w:trHeight w:val="9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7</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303.23346</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303.233</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4.02</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Arachidonic acid (20:4)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67</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Fatty acid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4</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1.3</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2.35</w:t>
            </w:r>
          </w:p>
        </w:tc>
      </w:tr>
      <w:tr>
        <w:trPr>
          <w:trHeight w:val="9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311.2963</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311.2956</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10.86</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Fatty ester (20:0)</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26</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Fatty acid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5</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1.01</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1.59</w:t>
            </w:r>
          </w:p>
        </w:tc>
      </w:tr>
      <w:tr>
        <w:trPr>
          <w:trHeight w:val="9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9</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279.23341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279.233</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4.48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Lineolic acid (18:2)</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168</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Fatty acid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4</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2.1</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1.44</w:t>
            </w:r>
          </w:p>
        </w:tc>
      </w:tr>
      <w:tr>
        <w:trPr>
          <w:trHeight w:val="9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10</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253.21765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253.2173</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4.21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palmitoleic acid (16:1)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65</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Fatty acid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5</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ND</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1.88</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pPr>
              <w:spacing w:after="0" w:line="240" w:lineRule="auto"/>
              <w:contextualSpacing w:val="0"/>
              <w:rPr>
                <w:color w:val="000000"/>
                <w:vertAlign w:val="baseline"/>
              </w:rPr>
            </w:pPr>
            <w:r w:rsidDel="00000000" w:rsidR="00000000" w:rsidRPr="00000000">
              <w:rPr>
                <w:color w:val="000000"/>
                <w:vertAlign w:val="baseline"/>
                <w:rtl w:val="0"/>
              </w:rPr>
              <w:t xml:space="preserve">ND</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818.59427</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818.5917</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12.72</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PS (38:1)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4</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1.02</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2.33</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12</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883.53685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883.5342</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10.97</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PI (38:5)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28</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1.1</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2.42</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13</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885.55254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885.5499</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11.35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PI (38:4)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24</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ND</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1.03</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2.75</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892.61004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892.6073</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11.72</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PS (44:5)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9</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1.01</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1.52</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866.59438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866.5917</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11.79</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PS (42:4)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5</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ND</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1.04</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ND</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16</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894.62626</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894.623</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12.37</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PS (44:4)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ND</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1.01</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ND</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17</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749.53427</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794.5338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12.16</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PG (34:0)</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11</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6</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ND</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1.02</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ND</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875.58528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875.5808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12.82</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PG (44:7)</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9</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ND</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1.02</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ND</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19</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838.56301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838.5604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11.41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PS (40:4)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14</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48</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36</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1.05</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3.06</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20</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804.61491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804.6124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13.28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PS (38:0)</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5</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5</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1.01</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1.48</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793.56064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793.5753</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12.49</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PA (43:4)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ND</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1.02</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ND</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22</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761.58353</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761.5702</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12.37</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PG (36:0)</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6</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10</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ND</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1.07</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ND</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23</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844.60968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844.6073</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12.61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PS (40:1)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1.06</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2.14</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886.55604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886.5604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11.35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PS (44:8)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6</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1.01</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1.95</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2xcytpi" w:id="22"/>
      <w:bookmarkEnd w:id="22"/>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color w:val="4f81bd"/>
          <w:vertAlign w:val="baseline"/>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Table S-4 List of down-regulated lipids obtained with use of SPME and Bligh &amp; Dyer methods -positive mode</w:t>
      </w:r>
      <w:bookmarkStart w:colFirst="0" w:colLast="0" w:name="1ci93xb" w:id="23"/>
      <w:bookmarkEnd w:id="23"/>
      <w:r w:rsidDel="00000000" w:rsidR="00000000" w:rsidRPr="00000000">
        <w:rPr>
          <w:rtl w:val="0"/>
        </w:rPr>
      </w:r>
    </w:p>
    <w:tbl>
      <w:tblPr>
        <w:tblStyle w:val="Table5"/>
        <w:tblW w:w="12720.0" w:type="dxa"/>
        <w:jc w:val="left"/>
        <w:tblInd w:w="0.0" w:type="dxa"/>
        <w:tblLayout w:type="fixed"/>
        <w:tblLook w:val="0000"/>
      </w:tblPr>
      <w:tblGrid>
        <w:gridCol w:w="993"/>
        <w:gridCol w:w="2043"/>
        <w:gridCol w:w="1050"/>
        <w:gridCol w:w="1020"/>
        <w:gridCol w:w="1247"/>
        <w:gridCol w:w="1004"/>
        <w:gridCol w:w="1297"/>
        <w:gridCol w:w="1022"/>
        <w:gridCol w:w="1011"/>
        <w:gridCol w:w="1022"/>
        <w:gridCol w:w="1011"/>
        <w:tblGridChange w:id="0">
          <w:tblGrid>
            <w:gridCol w:w="993"/>
            <w:gridCol w:w="2043"/>
            <w:gridCol w:w="1050"/>
            <w:gridCol w:w="1020"/>
            <w:gridCol w:w="1247"/>
            <w:gridCol w:w="1004"/>
            <w:gridCol w:w="1297"/>
            <w:gridCol w:w="1022"/>
            <w:gridCol w:w="1011"/>
            <w:gridCol w:w="1022"/>
            <w:gridCol w:w="1011"/>
          </w:tblGrid>
        </w:tblGridChange>
      </w:tblGrid>
      <w:tr>
        <w:trPr>
          <w:trHeight w:val="560" w:hRule="atLeast"/>
        </w:trPr>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b w:val="0"/>
                <w:color w:val="000000"/>
                <w:sz w:val="28"/>
                <w:szCs w:val="28"/>
                <w:vertAlign w:val="baseline"/>
              </w:rPr>
            </w:pPr>
            <w:r w:rsidDel="00000000" w:rsidR="00000000" w:rsidRPr="00000000">
              <w:rPr>
                <w:b w:val="1"/>
                <w:color w:val="000000"/>
                <w:sz w:val="28"/>
                <w:szCs w:val="28"/>
                <w:vertAlign w:val="baseline"/>
                <w:rtl w:val="0"/>
              </w:rPr>
              <w:t xml:space="preserve"> </w:t>
            </w:r>
            <w:r w:rsidDel="00000000" w:rsidR="00000000" w:rsidRPr="00000000">
              <w:rPr>
                <w:rtl w:val="0"/>
              </w:rPr>
            </w:r>
          </w:p>
        </w:tc>
        <w:tc>
          <w:tcPr>
            <w:gridSpan w:val="10"/>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b w:val="0"/>
                <w:color w:val="000000"/>
                <w:sz w:val="28"/>
                <w:szCs w:val="28"/>
                <w:vertAlign w:val="baseline"/>
              </w:rPr>
            </w:pPr>
            <w:r w:rsidDel="00000000" w:rsidR="00000000" w:rsidRPr="00000000">
              <w:rPr>
                <w:b w:val="1"/>
                <w:color w:val="000000"/>
                <w:sz w:val="28"/>
                <w:szCs w:val="28"/>
                <w:vertAlign w:val="baseline"/>
                <w:rtl w:val="0"/>
              </w:rPr>
              <w:t xml:space="preserve">Down-regulated - Positive</w:t>
            </w:r>
            <w:r w:rsidDel="00000000" w:rsidR="00000000" w:rsidRPr="00000000">
              <w:rPr>
                <w:rtl w:val="0"/>
              </w:rPr>
            </w:r>
          </w:p>
        </w:tc>
      </w:tr>
      <w:tr>
        <w:trPr>
          <w:trHeight w:val="920" w:hRule="atLeast"/>
        </w:trPr>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Fold Change</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VIP</w:t>
            </w:r>
            <w:r w:rsidDel="00000000" w:rsidR="00000000" w:rsidRPr="00000000">
              <w:rPr>
                <w:rtl w:val="0"/>
              </w:rPr>
            </w:r>
          </w:p>
        </w:tc>
      </w:tr>
      <w:tr>
        <w:trPr>
          <w:trHeight w:val="920" w:hRule="atLeast"/>
        </w:trPr>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Input mz</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Exact mz</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RT (min)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Metabolite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of hits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Class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SPME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B&amp;D</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SPME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B&amp;D</w:t>
            </w:r>
            <w:r w:rsidDel="00000000" w:rsidR="00000000" w:rsidRPr="00000000">
              <w:rPr>
                <w:rtl w:val="0"/>
              </w:rPr>
            </w:r>
          </w:p>
        </w:tc>
      </w:tr>
      <w:tr>
        <w:trPr>
          <w:trHeight w:val="9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786.60055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786.6007</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12.6</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PC (36:2) or PE (39:2)</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82</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10</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2.66</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7.3</w:t>
            </w:r>
          </w:p>
        </w:tc>
      </w:tr>
      <w:tr>
        <w:trPr>
          <w:trHeight w:val="9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760.58459</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760.5861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12.71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PE (37:1) or PC (34:1)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47</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ND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5</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ND</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6.42</w:t>
            </w:r>
          </w:p>
        </w:tc>
      </w:tr>
      <w:tr>
        <w:trPr>
          <w:trHeight w:val="9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788.61603</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788.6164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13.46</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PC (36:1) or PE (39:1)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55</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ND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ND</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5.52</w:t>
            </w:r>
          </w:p>
        </w:tc>
      </w:tr>
      <w:tr>
        <w:trPr>
          <w:trHeight w:val="9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4</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782.56924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782.5694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11.85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PC (36:4) or PE (39:4)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60</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ND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ND</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5.2</w:t>
            </w:r>
          </w:p>
        </w:tc>
      </w:tr>
      <w:tr>
        <w:trPr>
          <w:trHeight w:val="9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5</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678.50661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678.5068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11.48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PC (28:0) or PE (31:0)</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32</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ND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4</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ND</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3.1</w:t>
            </w:r>
          </w:p>
        </w:tc>
      </w:tr>
      <w:tr>
        <w:trPr>
          <w:trHeight w:val="9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6</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758.56889</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758.5694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12.07</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PE (37:1) or PC (34:1)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68</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ND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6</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ND</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3.27</w:t>
            </w:r>
          </w:p>
        </w:tc>
      </w:tr>
      <w:tr>
        <w:trPr>
          <w:trHeight w:val="9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7</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732.55333</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732.5538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12.06</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PE (35:1) or PC (32:1)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40</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5</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5</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1.79</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5.27</w:t>
            </w:r>
          </w:p>
        </w:tc>
      </w:tr>
      <w:tr>
        <w:trPr>
          <w:trHeight w:val="9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8</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794.72296</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794.7232</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18.98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TG (46:1)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28</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Glycerolipid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4</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1.97</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2.7</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9</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822.75435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822.7545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20.23</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TG (48:1)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60</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Glycerolipid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2.04</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1.01</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10</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617.51151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617.514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13.87</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DG (34:1) </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14</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Glycerolipid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5</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ND</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1.04</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ND</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11</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468.30841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468.3085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2.83</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LysoPC (14:0)</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ND</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1.01</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ND</w:t>
            </w:r>
          </w:p>
        </w:tc>
      </w:tr>
      <w:tr>
        <w:trPr>
          <w:trHeight w:val="9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12</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627.5345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627.4983</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11.34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DG (37:6)</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4</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Glycerolipid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1.03</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3.75</w:t>
            </w:r>
          </w:p>
        </w:tc>
      </w:tr>
      <w:tr>
        <w:trPr>
          <w:trHeight w:val="9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13</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730.53777</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730.5381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11:49</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PE (35:2) or PC (32:2)</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32</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9</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1.01</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4.53</w:t>
            </w:r>
          </w:p>
        </w:tc>
      </w:tr>
      <w:tr>
        <w:trPr>
          <w:trHeight w:val="9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14</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761.58805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761.5691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12.71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PG (20:3)</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5</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5</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ND</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2.58</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ND</w:t>
            </w:r>
          </w:p>
        </w:tc>
      </w:tr>
      <w:tr>
        <w:trPr>
          <w:trHeight w:val="12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15</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772.58445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772.5851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12.27</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PC (35:2)</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56</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9</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1.01</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2.46</w:t>
            </w:r>
          </w:p>
        </w:tc>
      </w:tr>
      <w:tr>
        <w:trPr>
          <w:trHeight w:val="9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16</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704.52201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704.5225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11.44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PE (33:1) or PC (30:1)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29</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1.24</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3.41</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17</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1279.35114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 </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17.47</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Unidentified</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ND</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2.49</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ND</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18</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1205.33235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 </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16.69</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Unidentified</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ND</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2.69</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ND</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19</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687.19942</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 </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12.58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Unidentified</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21</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2.57</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1.01</w:t>
            </w:r>
          </w:p>
        </w:tc>
      </w:tr>
    </w:tbl>
    <w:p w:rsidR="00000000" w:rsidDel="00000000" w:rsidP="00000000" w:rsidRDefault="00000000" w:rsidRPr="00000000">
      <w:pPr>
        <w:spacing w:after="0" w:lineRule="auto"/>
        <w:contextualSpacing w:val="0"/>
        <w:rPr>
          <w:vertAlign w:val="baseline"/>
        </w:rPr>
      </w:pPr>
      <w:r w:rsidDel="00000000" w:rsidR="00000000" w:rsidRPr="00000000">
        <w:rPr>
          <w:rtl w:val="0"/>
        </w:rPr>
      </w:r>
    </w:p>
    <w:tbl>
      <w:tblPr>
        <w:tblStyle w:val="Table6"/>
        <w:tblW w:w="12719.999999999998" w:type="dxa"/>
        <w:jc w:val="left"/>
        <w:tblInd w:w="93.0" w:type="dxa"/>
        <w:tblLayout w:type="fixed"/>
        <w:tblLook w:val="0000"/>
      </w:tblPr>
      <w:tblGrid>
        <w:gridCol w:w="902"/>
        <w:gridCol w:w="1933"/>
        <w:gridCol w:w="1129"/>
        <w:gridCol w:w="978"/>
        <w:gridCol w:w="1433"/>
        <w:gridCol w:w="933"/>
        <w:gridCol w:w="1483"/>
        <w:gridCol w:w="983"/>
        <w:gridCol w:w="952"/>
        <w:gridCol w:w="983"/>
        <w:gridCol w:w="1011"/>
        <w:tblGridChange w:id="0">
          <w:tblGrid>
            <w:gridCol w:w="902"/>
            <w:gridCol w:w="1933"/>
            <w:gridCol w:w="1129"/>
            <w:gridCol w:w="978"/>
            <w:gridCol w:w="1433"/>
            <w:gridCol w:w="933"/>
            <w:gridCol w:w="1483"/>
            <w:gridCol w:w="983"/>
            <w:gridCol w:w="952"/>
            <w:gridCol w:w="983"/>
            <w:gridCol w:w="1011"/>
          </w:tblGrid>
        </w:tblGridChange>
      </w:tblGrid>
      <w:tr>
        <w:trPr>
          <w:trHeight w:val="560" w:hRule="atLeast"/>
        </w:trPr>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b w:val="0"/>
                <w:color w:val="000000"/>
                <w:sz w:val="28"/>
                <w:szCs w:val="28"/>
                <w:vertAlign w:val="baseline"/>
              </w:rPr>
            </w:pPr>
            <w:r w:rsidDel="00000000" w:rsidR="00000000" w:rsidRPr="00000000">
              <w:rPr>
                <w:b w:val="1"/>
                <w:color w:val="000000"/>
                <w:sz w:val="28"/>
                <w:szCs w:val="28"/>
                <w:vertAlign w:val="baseline"/>
                <w:rtl w:val="0"/>
              </w:rPr>
              <w:t xml:space="preserve"> </w:t>
            </w:r>
            <w:r w:rsidDel="00000000" w:rsidR="00000000" w:rsidRPr="00000000">
              <w:rPr>
                <w:rtl w:val="0"/>
              </w:rPr>
            </w:r>
          </w:p>
        </w:tc>
        <w:tc>
          <w:tcPr>
            <w:gridSpan w:val="10"/>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b w:val="0"/>
                <w:color w:val="000000"/>
                <w:sz w:val="28"/>
                <w:szCs w:val="28"/>
                <w:vertAlign w:val="baseline"/>
              </w:rPr>
            </w:pPr>
            <w:r w:rsidDel="00000000" w:rsidR="00000000" w:rsidRPr="00000000">
              <w:rPr>
                <w:b w:val="1"/>
                <w:color w:val="000000"/>
                <w:sz w:val="28"/>
                <w:szCs w:val="28"/>
                <w:vertAlign w:val="baseline"/>
                <w:rtl w:val="0"/>
              </w:rPr>
              <w:t xml:space="preserve">Down-regulated - Positive</w:t>
            </w:r>
            <w:r w:rsidDel="00000000" w:rsidR="00000000" w:rsidRPr="00000000">
              <w:rPr>
                <w:rtl w:val="0"/>
              </w:rPr>
            </w:r>
          </w:p>
        </w:tc>
      </w:tr>
      <w:tr>
        <w:trPr>
          <w:trHeight w:val="920" w:hRule="atLeast"/>
        </w:trPr>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Fold Change</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VIP</w:t>
            </w:r>
            <w:r w:rsidDel="00000000" w:rsidR="00000000" w:rsidRPr="00000000">
              <w:rPr>
                <w:rtl w:val="0"/>
              </w:rPr>
            </w:r>
          </w:p>
        </w:tc>
      </w:tr>
      <w:tr>
        <w:trPr>
          <w:trHeight w:val="920" w:hRule="atLeast"/>
        </w:trPr>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Input mz</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Exact mz</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RT (min)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Metabolite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of hits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Class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SPME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B&amp;D</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SPME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vAlign w:val="center"/>
          </w:tcPr>
          <w:p w:rsidR="00000000" w:rsidDel="00000000" w:rsidP="00000000" w:rsidRDefault="00000000" w:rsidRPr="00000000">
            <w:pPr>
              <w:spacing w:after="0" w:line="240"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B&amp;D</w:t>
            </w:r>
            <w:r w:rsidDel="00000000" w:rsidR="00000000" w:rsidRPr="00000000">
              <w:rPr>
                <w:rtl w:val="0"/>
              </w:rPr>
            </w:r>
          </w:p>
        </w:tc>
      </w:tr>
      <w:tr>
        <w:trPr>
          <w:trHeight w:val="9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786.60055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786.6007</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12.6</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PC (36:2) or PE (39:2)</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82</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10</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2.66</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7.3</w:t>
            </w:r>
          </w:p>
        </w:tc>
      </w:tr>
      <w:tr>
        <w:trPr>
          <w:trHeight w:val="9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760.58459</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760.5861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12.71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PE (37:1) or PC (34:1)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47</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ND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5</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ND</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6.42</w:t>
            </w:r>
          </w:p>
        </w:tc>
      </w:tr>
      <w:tr>
        <w:trPr>
          <w:trHeight w:val="9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788.61603</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788.6164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13.46</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PC (36:1) or PE (39:1)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55</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ND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ND</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5.52</w:t>
            </w:r>
          </w:p>
        </w:tc>
      </w:tr>
      <w:tr>
        <w:trPr>
          <w:trHeight w:val="9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4</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782.56924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782.5694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11.85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PC (36:4) or PE (39:4)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60</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ND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ND</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5.2</w:t>
            </w:r>
          </w:p>
        </w:tc>
      </w:tr>
      <w:tr>
        <w:trPr>
          <w:trHeight w:val="9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5</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678.50661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678.5068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11.48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PC (28:0) or PE (31:0)</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32</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ND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4</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ND</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3.1</w:t>
            </w:r>
          </w:p>
        </w:tc>
      </w:tr>
      <w:tr>
        <w:trPr>
          <w:trHeight w:val="9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6</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758.56889</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758.5694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12.07</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PE (37:1) or PC (34:1)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68</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ND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6</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ND</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3.27</w:t>
            </w:r>
          </w:p>
        </w:tc>
      </w:tr>
      <w:tr>
        <w:trPr>
          <w:trHeight w:val="9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7</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732.55333</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732.5538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12.06</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PE (35:1) or PC (32:1)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40</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5</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5</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1.79</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5.27</w:t>
            </w:r>
          </w:p>
        </w:tc>
      </w:tr>
      <w:tr>
        <w:trPr>
          <w:trHeight w:val="9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8</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794.72296</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794.7232</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18.98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TG (46:1)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28</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Glycerolipid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4</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1.97</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2.7</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9</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822.75435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822.7545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20.23</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TG (48:1)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60</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Glycerolipid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2.04</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1.01</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10</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617.51151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617.514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13.87</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DG (34:1) </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14</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Glycerolipid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5</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ND</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1.04</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ND</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11</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468.30841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468.3085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2.83</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LysoPC (14:0)</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ND</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1.01</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ND</w:t>
            </w:r>
          </w:p>
        </w:tc>
      </w:tr>
      <w:tr>
        <w:trPr>
          <w:trHeight w:val="9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12</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627.5345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627.4983</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11.34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DG (37:6)</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4</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Glycerolipid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1.03</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3.75</w:t>
            </w:r>
          </w:p>
        </w:tc>
      </w:tr>
      <w:tr>
        <w:trPr>
          <w:trHeight w:val="9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13</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730.53777</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730.5381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11:49</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PE (35:2) or PC (32:2)</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32</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9</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1.01</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4.53</w:t>
            </w:r>
          </w:p>
        </w:tc>
      </w:tr>
      <w:tr>
        <w:trPr>
          <w:trHeight w:val="9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14</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761.58805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761.5691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12.71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PG (20:3)</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5</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5</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ND</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2.58</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ND</w:t>
            </w:r>
          </w:p>
        </w:tc>
      </w:tr>
      <w:tr>
        <w:trPr>
          <w:trHeight w:val="12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15</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772.58445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772.5851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12.27</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PC (35:2)</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56</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9</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1.01</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2.46</w:t>
            </w:r>
          </w:p>
        </w:tc>
      </w:tr>
      <w:tr>
        <w:trPr>
          <w:trHeight w:val="9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16</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704.52201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704.5225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11.44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PE (33:1) or PC (30:1)</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29</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Phospholipid</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1.24</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3.41</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17</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1279.35114</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 </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17.47</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Unidentified</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ND</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2.49</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ND</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18</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1205.33235</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 </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16.69</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Unidentified</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ND</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2.69</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ND</w:t>
            </w:r>
          </w:p>
        </w:tc>
      </w:tr>
      <w:tr>
        <w:trPr>
          <w:trHeight w:val="620" w:hRule="atLeast"/>
        </w:trPr>
        <w:tc>
          <w:tcPr>
            <w:tcBorders>
              <w:top w:color="000000" w:space="0" w:sz="0" w:val="nil"/>
              <w:left w:color="ffffff" w:space="0" w:sz="8" w:val="single"/>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19</w:t>
            </w:r>
          </w:p>
        </w:tc>
        <w:tc>
          <w:tcPr>
            <w:tcBorders>
              <w:top w:color="ffffff" w:space="0" w:sz="8" w:val="single"/>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687.19942</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 </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12.58</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Unidentified</w:t>
            </w:r>
          </w:p>
        </w:tc>
        <w:tc>
          <w:tcPr>
            <w:tcBorders>
              <w:top w:color="000000" w:space="0" w:sz="0" w:val="nil"/>
              <w:left w:color="000000" w:space="0" w:sz="0" w:val="nil"/>
              <w:bottom w:color="ffffff" w:space="0" w:sz="8" w:val="single"/>
              <w:right w:color="ffffff" w:space="0" w:sz="8" w:val="single"/>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w:t>
            </w:r>
          </w:p>
        </w:tc>
        <w:tc>
          <w:tcPr>
            <w:tcBorders>
              <w:top w:color="000000" w:space="0" w:sz="0" w:val="nil"/>
              <w:left w:color="000000" w:space="0" w:sz="0" w:val="nil"/>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21</w:t>
            </w:r>
          </w:p>
        </w:tc>
        <w:tc>
          <w:tcPr>
            <w:tcBorders>
              <w:top w:color="000000" w:space="0" w:sz="0" w:val="nil"/>
              <w:left w:color="ffffff" w:space="0" w:sz="8" w:val="single"/>
              <w:bottom w:color="ffffff" w:space="0" w:sz="8" w:val="single"/>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sz w:val="24"/>
                <w:szCs w:val="24"/>
                <w:vertAlign w:val="baseline"/>
              </w:rPr>
            </w:pPr>
            <w:r w:rsidDel="00000000" w:rsidR="00000000" w:rsidRPr="00000000">
              <w:rPr>
                <w:color w:val="000000"/>
                <w:sz w:val="24"/>
                <w:szCs w:val="24"/>
                <w:vertAlign w:val="baseline"/>
                <w:rtl w:val="0"/>
              </w:rPr>
              <w:t xml:space="preserve">3</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2.57</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pPr>
              <w:spacing w:after="0" w:line="240" w:lineRule="auto"/>
              <w:contextualSpacing w:val="0"/>
              <w:jc w:val="center"/>
              <w:rPr>
                <w:color w:val="000000"/>
                <w:vertAlign w:val="baseline"/>
              </w:rPr>
            </w:pPr>
            <w:r w:rsidDel="00000000" w:rsidR="00000000" w:rsidRPr="00000000">
              <w:rPr>
                <w:color w:val="000000"/>
                <w:vertAlign w:val="baseline"/>
                <w:rtl w:val="0"/>
              </w:rPr>
              <w:t xml:space="preserve">1.01</w:t>
            </w:r>
          </w:p>
        </w:tc>
      </w:tr>
    </w:tbl>
    <w:p w:rsidR="00000000" w:rsidDel="00000000" w:rsidP="00000000" w:rsidRDefault="00000000" w:rsidRPr="00000000">
      <w:pPr>
        <w:spacing w:after="0" w:lineRule="auto"/>
        <w:contextualSpacing w:val="0"/>
        <w:rPr>
          <w:vertAlign w:val="baseline"/>
        </w:rPr>
      </w:pPr>
      <w:r w:rsidDel="00000000" w:rsidR="00000000" w:rsidRPr="00000000">
        <w:rPr>
          <w:rtl w:val="0"/>
        </w:rPr>
      </w:r>
    </w:p>
    <w:p w:rsidR="00000000" w:rsidDel="00000000" w:rsidP="00000000" w:rsidRDefault="00000000" w:rsidRPr="00000000">
      <w:pPr>
        <w:contextualSpacing w:val="0"/>
        <w:jc w:val="center"/>
        <w:rPr>
          <w:sz w:val="24"/>
          <w:szCs w:val="24"/>
          <w:vertAlign w:val="baseline"/>
        </w:rPr>
      </w:pPr>
      <w:r w:rsidDel="00000000" w:rsidR="00000000" w:rsidRPr="00000000">
        <w:rPr>
          <w:vertAlign w:val="baseline"/>
        </w:rPr>
        <w:drawing>
          <wp:inline distB="0" distT="0" distL="114300" distR="114300">
            <wp:extent cx="5791835" cy="4506595"/>
            <wp:effectExtent b="0" l="0" r="0" t="0"/>
            <wp:docPr id="6" name="image12.png"/>
            <a:graphic>
              <a:graphicData uri="http://schemas.openxmlformats.org/drawingml/2006/picture">
                <pic:pic>
                  <pic:nvPicPr>
                    <pic:cNvPr id="0" name="image12.png"/>
                    <pic:cNvPicPr preferRelativeResize="0"/>
                  </pic:nvPicPr>
                  <pic:blipFill>
                    <a:blip r:embed="rId17"/>
                    <a:srcRect b="0" l="0" r="0" t="0"/>
                    <a:stretch>
                      <a:fillRect/>
                    </a:stretch>
                  </pic:blipFill>
                  <pic:spPr>
                    <a:xfrm>
                      <a:off x="0" y="0"/>
                      <a:ext cx="5791835" cy="450659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Figure S- 5 Score plots of PCA performed on the lipid features of most significant difference. Plot illustrates a clear separation between B&amp;D-control (red) and SPME-control (dark blue), B&amp;D-Treat (green) and SPME-Treat (light blue). The x-axes and y-axes represent the score of the first and second principal component contributing 72.6% and 20.3% variances, respectively.</w:t>
      </w:r>
    </w:p>
    <w:p w:rsidR="00000000" w:rsidDel="00000000" w:rsidP="00000000" w:rsidRDefault="00000000" w:rsidRPr="00000000">
      <w:pPr>
        <w:pStyle w:val="Heading1"/>
        <w:contextualSpacing w:val="0"/>
        <w:rPr>
          <w:vertAlign w:val="baseline"/>
        </w:rPr>
      </w:pPr>
      <w:r w:rsidDel="00000000" w:rsidR="00000000" w:rsidRPr="00000000">
        <w:rPr>
          <w:b w:val="1"/>
          <w:vertAlign w:val="baseline"/>
          <w:rtl w:val="0"/>
        </w:rPr>
        <w:t xml:space="preserve">References</w:t>
      </w:r>
      <w:r w:rsidDel="00000000" w:rsidR="00000000" w:rsidRPr="00000000">
        <w:rPr>
          <w:rtl w:val="0"/>
        </w:rPr>
      </w:r>
    </w:p>
    <w:p w:rsidR="00000000" w:rsidDel="00000000" w:rsidP="00000000" w:rsidRDefault="00000000" w:rsidRPr="00000000">
      <w:pPr>
        <w:widowControl w:val="0"/>
        <w:numPr>
          <w:ilvl w:val="0"/>
          <w:numId w:val="2"/>
        </w:numPr>
        <w:spacing w:after="100" w:before="100"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F. S. Mirnaghi, Y. Chen, L. M. Sidisky, J. Pawliszyn, Optimization of the coating procedure for a high-throughput 96-blade solid phase microextraction system coupled with LC-MS/MS for analysis of complex samples, Anal. Chem. 83 (2011) 6018–6025.</w:t>
      </w:r>
    </w:p>
    <w:p w:rsidR="00000000" w:rsidDel="00000000" w:rsidP="00000000" w:rsidRDefault="00000000" w:rsidRPr="00000000">
      <w:pPr>
        <w:widowControl w:val="0"/>
        <w:numPr>
          <w:ilvl w:val="0"/>
          <w:numId w:val="2"/>
        </w:numPr>
        <w:spacing w:after="100" w:before="100"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D. Vuckovic,  J. Pawliszyn, Systematic evaluation of solid-phase microextraction coatings for untargeted metabolomic profiling of biological fluids by liquid chromatography-mass spectrometry, Anal. Chem. 83 (2011) 1944–1954.</w:t>
      </w:r>
    </w:p>
    <w:p w:rsidR="00000000" w:rsidDel="00000000" w:rsidP="00000000" w:rsidRDefault="00000000" w:rsidRPr="00000000">
      <w:pPr>
        <w:widowControl w:val="0"/>
        <w:numPr>
          <w:ilvl w:val="0"/>
          <w:numId w:val="2"/>
        </w:numPr>
        <w:spacing w:after="100" w:before="100"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D. Vuckovic,  I. de Lannoy, B. Gien, R. E. Shirey, L. M. Sidisky, S. Dutta, J. Pawliszyn, In vivo solid-phase microextraction: capturing the elusive portion of metabolome, Angew. Chem. Int. Ed. Engl. 50 (2011) 5344–5348.</w:t>
      </w:r>
    </w:p>
    <w:p w:rsidR="00000000" w:rsidDel="00000000" w:rsidP="00000000" w:rsidRDefault="00000000" w:rsidRPr="00000000">
      <w:pPr>
        <w:widowControl w:val="0"/>
        <w:numPr>
          <w:ilvl w:val="0"/>
          <w:numId w:val="2"/>
        </w:numPr>
        <w:spacing w:after="100" w:before="100" w:line="240" w:lineRule="auto"/>
        <w:ind w:left="720" w:hanging="360"/>
        <w:contextualSpacing w:val="0"/>
        <w:rPr/>
      </w:pPr>
      <w:r w:rsidDel="00000000" w:rsidR="00000000" w:rsidRPr="00000000">
        <w:rPr>
          <w:rFonts w:ascii="Times New Roman" w:cs="Times New Roman" w:eastAsia="Times New Roman" w:hAnsi="Times New Roman"/>
          <w:sz w:val="24"/>
          <w:szCs w:val="24"/>
          <w:vertAlign w:val="baseline"/>
          <w:rtl w:val="0"/>
        </w:rPr>
        <w:t xml:space="preserve">D. Vuckovic,  S. Risticevic, J. Pawliszyn, In vivo solid-phase microextraction in metabolomics: opportunities for the direct investigation of biological systems, Angew. Chem. Int. Ed. Engl. 50 (2011) 5618–5628.</w:t>
      </w:r>
      <w:r w:rsidDel="00000000" w:rsidR="00000000" w:rsidRPr="00000000">
        <w:rPr>
          <w:rtl w:val="0"/>
        </w:rPr>
      </w:r>
    </w:p>
    <w:sectPr>
      <w:type w:val="continuous"/>
      <w:pgSz w:h="15840" w:w="12240"/>
      <w:pgMar w:bottom="1440" w:top="1440" w:left="1440" w:right="144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Cambria"/>
  <w:font w:name="Arial"/>
  <w:font w:name="Georgia"/>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440" w:before="0" w:line="240" w:lineRule="auto"/>
      <w:ind w:left="0" w:right="36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44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44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44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44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44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C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240" w:lineRule="auto"/>
      <w:ind w:left="360" w:hanging="360"/>
    </w:pPr>
    <w:rPr>
      <w:rFonts w:ascii="Times New Roman" w:cs="Times New Roman" w:eastAsia="Times New Roman" w:hAnsi="Times New Roman"/>
      <w:b w:val="1"/>
      <w:sz w:val="24"/>
      <w:szCs w:val="24"/>
      <w:vertAlign w:val="baseline"/>
    </w:rPr>
  </w:style>
  <w:style w:type="paragraph" w:styleId="Heading2">
    <w:name w:val="heading 2"/>
    <w:basedOn w:val="Normal"/>
    <w:next w:val="Normal"/>
    <w:pPr>
      <w:keepNext w:val="1"/>
      <w:keepLines w:val="1"/>
      <w:spacing w:after="0" w:before="200" w:line="276" w:lineRule="auto"/>
      <w:ind w:left="576" w:hanging="576"/>
      <w:contextualSpacing w:val="0"/>
    </w:pPr>
    <w:rPr>
      <w:rFonts w:ascii="Cambria" w:cs="Cambria" w:eastAsia="Cambria" w:hAnsi="Cambria"/>
      <w:b w:val="1"/>
      <w:color w:val="4f81bd"/>
      <w:sz w:val="24"/>
      <w:szCs w:val="24"/>
      <w:vertAlign w:val="baseline"/>
    </w:rPr>
  </w:style>
  <w:style w:type="paragraph" w:styleId="Heading3">
    <w:name w:val="heading 3"/>
    <w:basedOn w:val="Normal"/>
    <w:next w:val="Normal"/>
    <w:pPr>
      <w:keepNext w:val="1"/>
      <w:keepLines w:val="1"/>
      <w:spacing w:after="0" w:before="200" w:line="276" w:lineRule="auto"/>
      <w:ind w:left="720" w:hanging="720"/>
      <w:contextualSpacing w:val="0"/>
    </w:pPr>
    <w:rPr>
      <w:rFonts w:ascii="Cambria" w:cs="Cambria" w:eastAsia="Cambria" w:hAnsi="Cambria"/>
      <w:b w:val="1"/>
      <w:color w:val="4f81bd"/>
      <w:sz w:val="22"/>
      <w:szCs w:val="22"/>
      <w:vertAlign w:val="baseline"/>
    </w:rPr>
  </w:style>
  <w:style w:type="paragraph" w:styleId="Heading4">
    <w:name w:val="heading 4"/>
    <w:basedOn w:val="Normal"/>
    <w:next w:val="Normal"/>
    <w:pPr>
      <w:keepNext w:val="1"/>
      <w:spacing w:after="60" w:before="240" w:line="360" w:lineRule="auto"/>
      <w:ind w:left="864" w:hanging="864"/>
      <w:contextualSpacing w:val="0"/>
    </w:pPr>
    <w:rPr>
      <w:rFonts w:ascii="Arial" w:cs="Arial" w:eastAsia="Arial" w:hAnsi="Arial"/>
      <w:sz w:val="22"/>
      <w:szCs w:val="22"/>
      <w:vertAlign w:val="baseline"/>
    </w:rPr>
  </w:style>
  <w:style w:type="paragraph" w:styleId="Heading5">
    <w:name w:val="heading 5"/>
    <w:basedOn w:val="Normal"/>
    <w:next w:val="Normal"/>
    <w:pPr>
      <w:spacing w:after="60" w:before="240" w:line="360" w:lineRule="auto"/>
      <w:ind w:left="1008" w:hanging="1008"/>
      <w:contextualSpacing w:val="0"/>
    </w:pPr>
    <w:rPr>
      <w:rFonts w:ascii="Times New Roman" w:cs="Times New Roman" w:eastAsia="Times New Roman" w:hAnsi="Times New Roman"/>
      <w:sz w:val="22"/>
      <w:szCs w:val="22"/>
      <w:vertAlign w:val="baseline"/>
    </w:rPr>
  </w:style>
  <w:style w:type="paragraph" w:styleId="Heading6">
    <w:name w:val="heading 6"/>
    <w:basedOn w:val="Normal"/>
    <w:next w:val="Normal"/>
    <w:pPr>
      <w:spacing w:after="60" w:before="240" w:line="360" w:lineRule="auto"/>
      <w:ind w:left="1152" w:hanging="1152"/>
      <w:contextualSpacing w:val="0"/>
    </w:pPr>
    <w:rPr>
      <w:rFonts w:ascii="Times New Roman" w:cs="Times New Roman" w:eastAsia="Times New Roman" w:hAnsi="Times New Roman"/>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footer" Target="footer2.xml"/><Relationship Id="rId13" Type="http://schemas.openxmlformats.org/officeDocument/2006/relationships/image" Target="media/image8.png"/><Relationship Id="rId12" Type="http://schemas.openxmlformats.org/officeDocument/2006/relationships/image" Target="media/image5.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15" Type="http://schemas.openxmlformats.org/officeDocument/2006/relationships/image" Target="media/image9.png"/><Relationship Id="rId14" Type="http://schemas.openxmlformats.org/officeDocument/2006/relationships/image" Target="media/image7.png"/><Relationship Id="rId17" Type="http://schemas.openxmlformats.org/officeDocument/2006/relationships/image" Target="media/image12.png"/><Relationship Id="rId16" Type="http://schemas.openxmlformats.org/officeDocument/2006/relationships/image" Target="media/image11.png"/><Relationship Id="rId5" Type="http://schemas.openxmlformats.org/officeDocument/2006/relationships/hyperlink" Target="mailto:janusz@uwaterloo.ca"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 Id="rId5" Type="http://schemas.openxmlformats.org/officeDocument/2006/relationships/font" Target="fonts/OpenSansLight-regular.ttf"/><Relationship Id="rId6" Type="http://schemas.openxmlformats.org/officeDocument/2006/relationships/font" Target="fonts/OpenSansLight-bold.ttf"/><Relationship Id="rId7" Type="http://schemas.openxmlformats.org/officeDocument/2006/relationships/font" Target="fonts/OpenSansLight-italic.ttf"/><Relationship Id="rId8" Type="http://schemas.openxmlformats.org/officeDocument/2006/relationships/font" Target="fonts/OpenSansLight-boldItalic.ttf"/></Relationships>
</file>